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sz w:val="30"/>
          <w:szCs w:val="30"/>
        </w:rPr>
      </w:pPr>
    </w:p>
    <w:p>
      <w:pPr>
        <w:rPr>
          <w:color w:val="000000"/>
        </w:rPr>
      </w:pPr>
      <w:r>
        <w:rPr>
          <w:color w:val="000000"/>
        </w:rPr>
        <w:drawing>
          <wp:anchor distT="0" distB="0" distL="114300" distR="114300" simplePos="0" relativeHeight="251659264" behindDoc="0" locked="0" layoutInCell="1" allowOverlap="1">
            <wp:simplePos x="0" y="0"/>
            <wp:positionH relativeFrom="column">
              <wp:posOffset>-812800</wp:posOffset>
            </wp:positionH>
            <wp:positionV relativeFrom="paragraph">
              <wp:posOffset>-8890</wp:posOffset>
            </wp:positionV>
            <wp:extent cx="2167255" cy="1083945"/>
            <wp:effectExtent l="0" t="0" r="4445" b="1905"/>
            <wp:wrapNone/>
            <wp:docPr id="3" name="图片 2" descr="翻坝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翻坝2"/>
                    <pic:cNvPicPr>
                      <a:picLocks noChangeAspect="1"/>
                    </pic:cNvPicPr>
                  </pic:nvPicPr>
                  <pic:blipFill>
                    <a:blip r:embed="rId10"/>
                    <a:stretch>
                      <a:fillRect/>
                    </a:stretch>
                  </pic:blipFill>
                  <pic:spPr>
                    <a:xfrm>
                      <a:off x="0" y="0"/>
                      <a:ext cx="2167255" cy="1083945"/>
                    </a:xfrm>
                    <a:prstGeom prst="rect">
                      <a:avLst/>
                    </a:prstGeom>
                    <a:noFill/>
                    <a:ln>
                      <a:noFill/>
                    </a:ln>
                  </pic:spPr>
                </pic:pic>
              </a:graphicData>
            </a:graphic>
          </wp:anchor>
        </w:drawing>
      </w:r>
    </w:p>
    <w:p>
      <w:pPr>
        <w:jc w:val="center"/>
        <w:rPr>
          <w:color w:val="000000"/>
        </w:rPr>
      </w:pPr>
    </w:p>
    <w:p>
      <w:pPr>
        <w:jc w:val="center"/>
        <w:rPr>
          <w:color w:val="000000"/>
          <w:sz w:val="32"/>
          <w:szCs w:val="32"/>
        </w:rPr>
      </w:pPr>
    </w:p>
    <w:p>
      <w:pPr>
        <w:jc w:val="center"/>
        <w:rPr>
          <w:color w:val="000000"/>
          <w:sz w:val="32"/>
          <w:szCs w:val="32"/>
        </w:rPr>
      </w:pPr>
    </w:p>
    <w:p>
      <w:pPr>
        <w:jc w:val="center"/>
        <w:rPr>
          <w:color w:val="000000"/>
          <w:sz w:val="32"/>
          <w:szCs w:val="32"/>
        </w:rPr>
      </w:pPr>
    </w:p>
    <w:p>
      <w:pPr>
        <w:rPr>
          <w:color w:val="000000"/>
          <w:sz w:val="32"/>
          <w:szCs w:val="32"/>
        </w:rPr>
      </w:pPr>
    </w:p>
    <w:p>
      <w:pPr>
        <w:rPr>
          <w:color w:val="000000"/>
        </w:rPr>
      </w:pPr>
    </w:p>
    <w:p>
      <w:pPr>
        <w:jc w:val="center"/>
        <w:rPr>
          <w:rFonts w:ascii="黑体" w:hAnsi="黑体" w:eastAsia="黑体"/>
          <w:b/>
          <w:color w:val="000000"/>
          <w:sz w:val="96"/>
          <w:szCs w:val="84"/>
        </w:rPr>
      </w:pPr>
      <w:r>
        <w:rPr>
          <w:rFonts w:hint="eastAsia" w:ascii="黑体" w:hAnsi="黑体" w:eastAsia="黑体"/>
          <w:b/>
          <w:color w:val="000000"/>
          <w:sz w:val="96"/>
          <w:szCs w:val="84"/>
        </w:rPr>
        <w:t>场外公开招标文件</w:t>
      </w:r>
    </w:p>
    <w:p>
      <w:pPr>
        <w:jc w:val="center"/>
        <w:rPr>
          <w:color w:val="000000"/>
          <w:sz w:val="72"/>
          <w:szCs w:val="72"/>
        </w:rPr>
      </w:pPr>
      <w:r>
        <w:rPr>
          <w:rFonts w:hint="eastAsia"/>
          <w:color w:val="000000"/>
          <w:sz w:val="72"/>
          <w:szCs w:val="72"/>
        </w:rPr>
        <w:t>（采购类）</w:t>
      </w:r>
    </w:p>
    <w:p>
      <w:pPr>
        <w:jc w:val="center"/>
        <w:rPr>
          <w:color w:val="000000"/>
          <w:szCs w:val="21"/>
        </w:rPr>
      </w:pPr>
    </w:p>
    <w:p>
      <w:pPr>
        <w:rPr>
          <w:color w:val="000000"/>
          <w:szCs w:val="21"/>
        </w:rPr>
      </w:pPr>
    </w:p>
    <w:p>
      <w:pPr>
        <w:jc w:val="center"/>
        <w:rPr>
          <w:color w:val="000000"/>
          <w:szCs w:val="21"/>
        </w:rPr>
      </w:pPr>
    </w:p>
    <w:p>
      <w:pPr>
        <w:rPr>
          <w:rFonts w:ascii="华文楷体" w:hAnsi="华文楷体" w:eastAsia="华文楷体"/>
          <w:bCs/>
          <w:color w:val="000000"/>
          <w:sz w:val="36"/>
          <w:szCs w:val="36"/>
        </w:rPr>
      </w:pPr>
      <w:r>
        <w:rPr>
          <w:rFonts w:hint="eastAsia" w:ascii="华文楷体" w:hAnsi="华文楷体" w:eastAsia="华文楷体"/>
          <w:bCs/>
          <w:color w:val="000000"/>
          <w:sz w:val="36"/>
          <w:szCs w:val="36"/>
        </w:rPr>
        <w:t>项目名称：宜昌白洋港区东西大门智能闸口改造项目</w:t>
      </w:r>
    </w:p>
    <w:p>
      <w:pPr>
        <w:rPr>
          <w:rFonts w:ascii="华文楷体" w:hAnsi="华文楷体" w:eastAsia="华文楷体"/>
          <w:bCs/>
          <w:color w:val="000000"/>
          <w:sz w:val="36"/>
          <w:szCs w:val="36"/>
        </w:rPr>
      </w:pPr>
    </w:p>
    <w:p>
      <w:pPr>
        <w:ind w:firstLine="1440" w:firstLineChars="400"/>
        <w:rPr>
          <w:rFonts w:ascii="华文楷体" w:hAnsi="华文楷体" w:eastAsia="华文楷体"/>
          <w:bCs/>
          <w:color w:val="000000"/>
          <w:sz w:val="36"/>
          <w:szCs w:val="36"/>
        </w:rPr>
      </w:pPr>
    </w:p>
    <w:p>
      <w:pPr>
        <w:ind w:firstLine="1440" w:firstLineChars="400"/>
        <w:rPr>
          <w:rFonts w:ascii="华文楷体" w:hAnsi="华文楷体" w:eastAsia="华文楷体"/>
          <w:bCs/>
          <w:color w:val="000000"/>
          <w:sz w:val="36"/>
          <w:szCs w:val="36"/>
        </w:rPr>
      </w:pPr>
    </w:p>
    <w:p>
      <w:pPr>
        <w:autoSpaceDE w:val="0"/>
        <w:autoSpaceDN w:val="0"/>
        <w:adjustRightInd w:val="0"/>
        <w:spacing w:line="200" w:lineRule="exact"/>
        <w:jc w:val="left"/>
        <w:rPr>
          <w:rFonts w:ascii="Arial" w:hAnsi="Arial" w:cs="黑体"/>
          <w:color w:val="000000"/>
          <w:kern w:val="0"/>
          <w:sz w:val="28"/>
          <w:szCs w:val="20"/>
        </w:rPr>
      </w:pPr>
    </w:p>
    <w:p>
      <w:pPr>
        <w:autoSpaceDE w:val="0"/>
        <w:autoSpaceDN w:val="0"/>
        <w:adjustRightInd w:val="0"/>
        <w:spacing w:line="200" w:lineRule="exact"/>
        <w:jc w:val="left"/>
        <w:rPr>
          <w:rFonts w:ascii="Arial" w:hAnsi="Arial" w:cs="黑体"/>
          <w:color w:val="000000"/>
          <w:kern w:val="0"/>
          <w:sz w:val="28"/>
          <w:szCs w:val="20"/>
        </w:rPr>
      </w:pPr>
    </w:p>
    <w:p>
      <w:pPr>
        <w:ind w:firstLine="1440" w:firstLineChars="400"/>
        <w:rPr>
          <w:rFonts w:ascii="华文楷体" w:hAnsi="华文楷体" w:eastAsia="华文楷体"/>
          <w:bCs/>
          <w:color w:val="000000"/>
          <w:sz w:val="36"/>
          <w:szCs w:val="36"/>
        </w:rPr>
      </w:pPr>
      <w:r>
        <w:rPr>
          <w:rFonts w:hint="eastAsia" w:ascii="华文楷体" w:hAnsi="华文楷体" w:eastAsia="华文楷体"/>
          <w:bCs/>
          <w:color w:val="000000"/>
          <w:sz w:val="36"/>
          <w:szCs w:val="36"/>
        </w:rPr>
        <w:t>采购人：宜昌白洋港集装箱有限公司</w:t>
      </w:r>
    </w:p>
    <w:p>
      <w:pPr>
        <w:ind w:firstLine="1440" w:firstLineChars="400"/>
        <w:rPr>
          <w:rFonts w:ascii="华文楷体" w:hAnsi="华文楷体" w:eastAsia="华文楷体"/>
          <w:bCs/>
          <w:color w:val="000000"/>
          <w:sz w:val="36"/>
          <w:szCs w:val="36"/>
        </w:rPr>
      </w:pPr>
      <w:r>
        <w:rPr>
          <w:rFonts w:hint="eastAsia" w:ascii="华文楷体" w:hAnsi="华文楷体" w:eastAsia="华文楷体"/>
          <w:bCs/>
          <w:color w:val="000000"/>
          <w:sz w:val="36"/>
          <w:szCs w:val="36"/>
        </w:rPr>
        <w:t>采购代理机构：中达安股份有限公司</w:t>
      </w:r>
    </w:p>
    <w:p>
      <w:pPr>
        <w:jc w:val="center"/>
        <w:rPr>
          <w:rFonts w:ascii="华文楷体" w:hAnsi="华文楷体" w:eastAsia="华文楷体"/>
          <w:bCs/>
          <w:color w:val="000000"/>
          <w:sz w:val="36"/>
          <w:szCs w:val="36"/>
        </w:rPr>
      </w:pPr>
    </w:p>
    <w:p>
      <w:pPr>
        <w:jc w:val="center"/>
        <w:rPr>
          <w:rFonts w:ascii="华文楷体" w:hAnsi="华文楷体" w:eastAsia="华文楷体"/>
          <w:bCs/>
          <w:color w:val="000000"/>
          <w:sz w:val="36"/>
          <w:szCs w:val="36"/>
        </w:rPr>
      </w:pPr>
      <w:r>
        <w:rPr>
          <w:rFonts w:hint="eastAsia" w:ascii="华文楷体" w:hAnsi="华文楷体" w:eastAsia="华文楷体"/>
          <w:bCs/>
          <w:color w:val="000000"/>
          <w:sz w:val="36"/>
          <w:szCs w:val="36"/>
        </w:rPr>
        <w:t xml:space="preserve"> 2019年10月</w:t>
      </w:r>
      <w:r>
        <w:rPr>
          <w:rFonts w:hint="eastAsia" w:ascii="华文楷体" w:hAnsi="华文楷体" w:eastAsia="华文楷体"/>
          <w:bCs/>
          <w:color w:val="000000"/>
          <w:sz w:val="36"/>
          <w:szCs w:val="36"/>
          <w:lang w:val="en-US" w:eastAsia="zh-CN"/>
        </w:rPr>
        <w:t>11</w:t>
      </w:r>
      <w:r>
        <w:rPr>
          <w:rFonts w:hint="eastAsia" w:ascii="华文楷体" w:hAnsi="华文楷体" w:eastAsia="华文楷体"/>
          <w:bCs/>
          <w:color w:val="000000"/>
          <w:sz w:val="36"/>
          <w:szCs w:val="36"/>
        </w:rPr>
        <w:t>日</w:t>
      </w:r>
    </w:p>
    <w:p>
      <w:pPr>
        <w:pStyle w:val="2"/>
        <w:pageBreakBefore/>
        <w:rPr>
          <w:color w:val="000000"/>
        </w:rPr>
        <w:sectPr>
          <w:pgSz w:w="11906" w:h="16838"/>
          <w:pgMar w:top="1440" w:right="1800" w:bottom="1440" w:left="1800" w:header="851" w:footer="992" w:gutter="0"/>
          <w:pgNumType w:fmt="upperRoman" w:start="1"/>
          <w:cols w:space="720" w:num="1"/>
          <w:docGrid w:type="lines" w:linePitch="312" w:charSpace="0"/>
        </w:sectPr>
      </w:pPr>
    </w:p>
    <w:p>
      <w:pPr>
        <w:pStyle w:val="2"/>
      </w:pPr>
      <w:bookmarkStart w:id="0" w:name="_Toc18672554"/>
      <w:r>
        <w:t>目</w:t>
      </w:r>
      <w:r>
        <w:rPr>
          <w:rFonts w:hint="eastAsia"/>
        </w:rPr>
        <w:t xml:space="preserve">  </w:t>
      </w:r>
      <w:r>
        <w:t>录</w:t>
      </w:r>
      <w:bookmarkEnd w:id="0"/>
    </w:p>
    <w:p>
      <w:pPr>
        <w:pStyle w:val="11"/>
        <w:rPr>
          <w:rFonts w:ascii="Calibri" w:hAnsi="Calibri"/>
          <w:b w:val="0"/>
          <w:sz w:val="21"/>
          <w:szCs w:val="22"/>
        </w:rPr>
      </w:pPr>
      <w:r>
        <w:rPr>
          <w:color w:val="000000"/>
        </w:rPr>
        <w:fldChar w:fldCharType="begin"/>
      </w:r>
      <w:r>
        <w:rPr>
          <w:color w:val="000000"/>
        </w:rPr>
        <w:instrText xml:space="preserve">TOC \o "1-2" \h \u </w:instrText>
      </w:r>
      <w:r>
        <w:rPr>
          <w:color w:val="000000"/>
        </w:rPr>
        <w:fldChar w:fldCharType="separate"/>
      </w:r>
      <w:r>
        <w:fldChar w:fldCharType="begin"/>
      </w:r>
      <w:r>
        <w:instrText xml:space="preserve"> HYPERLINK \l "_Toc18672554" </w:instrText>
      </w:r>
      <w:r>
        <w:fldChar w:fldCharType="separate"/>
      </w:r>
      <w:r>
        <w:rPr>
          <w:rStyle w:val="15"/>
          <w:rFonts w:hint="eastAsia"/>
        </w:rPr>
        <w:t>目</w:t>
      </w:r>
      <w:r>
        <w:rPr>
          <w:rStyle w:val="15"/>
        </w:rPr>
        <w:t xml:space="preserve">  </w:t>
      </w:r>
      <w:r>
        <w:rPr>
          <w:rStyle w:val="15"/>
          <w:rFonts w:hint="eastAsia"/>
        </w:rPr>
        <w:t>录</w:t>
      </w:r>
      <w:r>
        <w:tab/>
      </w:r>
      <w:r>
        <w:fldChar w:fldCharType="begin"/>
      </w:r>
      <w:r>
        <w:instrText xml:space="preserve"> PAGEREF _Toc18672554 \h </w:instrText>
      </w:r>
      <w:r>
        <w:fldChar w:fldCharType="separate"/>
      </w:r>
      <w:r>
        <w:t>I</w:t>
      </w:r>
      <w:r>
        <w:fldChar w:fldCharType="end"/>
      </w:r>
      <w:r>
        <w:fldChar w:fldCharType="end"/>
      </w:r>
    </w:p>
    <w:p>
      <w:pPr>
        <w:pStyle w:val="11"/>
        <w:rPr>
          <w:rFonts w:ascii="Calibri" w:hAnsi="Calibri"/>
          <w:b w:val="0"/>
          <w:sz w:val="21"/>
          <w:szCs w:val="22"/>
        </w:rPr>
      </w:pPr>
      <w:r>
        <w:fldChar w:fldCharType="begin"/>
      </w:r>
      <w:r>
        <w:instrText xml:space="preserve"> HYPERLINK \l "_Toc18672555" </w:instrText>
      </w:r>
      <w:r>
        <w:fldChar w:fldCharType="separate"/>
      </w:r>
      <w:r>
        <w:rPr>
          <w:rStyle w:val="15"/>
          <w:rFonts w:hint="eastAsia"/>
        </w:rPr>
        <w:t>第一章</w:t>
      </w:r>
      <w:r>
        <w:rPr>
          <w:rStyle w:val="15"/>
        </w:rPr>
        <w:t xml:space="preserve">  </w:t>
      </w:r>
      <w:r>
        <w:rPr>
          <w:rStyle w:val="15"/>
          <w:rFonts w:hint="eastAsia"/>
        </w:rPr>
        <w:t>招标公告</w:t>
      </w:r>
      <w:r>
        <w:tab/>
      </w:r>
      <w:r>
        <w:fldChar w:fldCharType="begin"/>
      </w:r>
      <w:r>
        <w:instrText xml:space="preserve"> PAGEREF _Toc18672555 \h </w:instrText>
      </w:r>
      <w:r>
        <w:fldChar w:fldCharType="separate"/>
      </w:r>
      <w:r>
        <w:t>1</w:t>
      </w:r>
      <w:r>
        <w:fldChar w:fldCharType="end"/>
      </w:r>
      <w:r>
        <w:fldChar w:fldCharType="end"/>
      </w:r>
    </w:p>
    <w:p>
      <w:pPr>
        <w:pStyle w:val="11"/>
        <w:rPr>
          <w:rFonts w:ascii="Calibri" w:hAnsi="Calibri"/>
          <w:b w:val="0"/>
          <w:sz w:val="21"/>
          <w:szCs w:val="22"/>
        </w:rPr>
      </w:pPr>
      <w:r>
        <w:fldChar w:fldCharType="begin"/>
      </w:r>
      <w:r>
        <w:instrText xml:space="preserve"> HYPERLINK \l "_Toc18672556" </w:instrText>
      </w:r>
      <w:r>
        <w:fldChar w:fldCharType="separate"/>
      </w:r>
      <w:r>
        <w:rPr>
          <w:rStyle w:val="15"/>
          <w:rFonts w:hint="eastAsia"/>
        </w:rPr>
        <w:t>第二章</w:t>
      </w:r>
      <w:r>
        <w:rPr>
          <w:rStyle w:val="15"/>
        </w:rPr>
        <w:t xml:space="preserve">  </w:t>
      </w:r>
      <w:r>
        <w:rPr>
          <w:rStyle w:val="15"/>
          <w:rFonts w:hint="eastAsia"/>
        </w:rPr>
        <w:t>投标人须知</w:t>
      </w:r>
      <w:r>
        <w:tab/>
      </w:r>
      <w:r>
        <w:fldChar w:fldCharType="begin"/>
      </w:r>
      <w:r>
        <w:instrText xml:space="preserve"> PAGEREF _Toc18672556 \h </w:instrText>
      </w:r>
      <w:r>
        <w:fldChar w:fldCharType="separate"/>
      </w:r>
      <w:r>
        <w:t>4</w:t>
      </w:r>
      <w:r>
        <w:fldChar w:fldCharType="end"/>
      </w:r>
      <w:r>
        <w:fldChar w:fldCharType="end"/>
      </w:r>
    </w:p>
    <w:p>
      <w:pPr>
        <w:pStyle w:val="12"/>
        <w:ind w:left="420"/>
        <w:rPr>
          <w:rFonts w:ascii="Calibri" w:hAnsi="Calibri"/>
          <w:sz w:val="21"/>
        </w:rPr>
      </w:pPr>
      <w:r>
        <w:fldChar w:fldCharType="begin"/>
      </w:r>
      <w:r>
        <w:instrText xml:space="preserve"> HYPERLINK \l "_Toc18672557" </w:instrText>
      </w:r>
      <w:r>
        <w:fldChar w:fldCharType="separate"/>
      </w:r>
      <w:r>
        <w:rPr>
          <w:rStyle w:val="15"/>
          <w:rFonts w:hint="eastAsia"/>
        </w:rPr>
        <w:t>投标人须知前附表</w:t>
      </w:r>
      <w:r>
        <w:tab/>
      </w:r>
      <w:r>
        <w:fldChar w:fldCharType="begin"/>
      </w:r>
      <w:r>
        <w:instrText xml:space="preserve"> PAGEREF _Toc18672557 \h </w:instrText>
      </w:r>
      <w:r>
        <w:fldChar w:fldCharType="separate"/>
      </w:r>
      <w:r>
        <w:t>4</w:t>
      </w:r>
      <w:r>
        <w:fldChar w:fldCharType="end"/>
      </w:r>
      <w:r>
        <w:fldChar w:fldCharType="end"/>
      </w:r>
    </w:p>
    <w:p>
      <w:pPr>
        <w:pStyle w:val="12"/>
        <w:ind w:left="420"/>
        <w:rPr>
          <w:rFonts w:ascii="Calibri" w:hAnsi="Calibri"/>
          <w:sz w:val="21"/>
        </w:rPr>
      </w:pPr>
      <w:r>
        <w:fldChar w:fldCharType="begin"/>
      </w:r>
      <w:r>
        <w:instrText xml:space="preserve"> HYPERLINK \l "_Toc18672558" </w:instrText>
      </w:r>
      <w:r>
        <w:fldChar w:fldCharType="separate"/>
      </w:r>
      <w:r>
        <w:rPr>
          <w:rStyle w:val="15"/>
          <w:rFonts w:hint="eastAsia"/>
        </w:rPr>
        <w:t>投标人须知正文部分</w:t>
      </w:r>
      <w:r>
        <w:tab/>
      </w:r>
      <w:r>
        <w:fldChar w:fldCharType="begin"/>
      </w:r>
      <w:r>
        <w:instrText xml:space="preserve"> PAGEREF _Toc18672558 \h </w:instrText>
      </w:r>
      <w:r>
        <w:fldChar w:fldCharType="separate"/>
      </w:r>
      <w:r>
        <w:t>6</w:t>
      </w:r>
      <w:r>
        <w:fldChar w:fldCharType="end"/>
      </w:r>
      <w:r>
        <w:fldChar w:fldCharType="end"/>
      </w:r>
    </w:p>
    <w:p>
      <w:pPr>
        <w:pStyle w:val="12"/>
        <w:ind w:left="420"/>
        <w:rPr>
          <w:rFonts w:ascii="Calibri" w:hAnsi="Calibri"/>
          <w:sz w:val="21"/>
        </w:rPr>
      </w:pPr>
      <w:r>
        <w:fldChar w:fldCharType="begin"/>
      </w:r>
      <w:r>
        <w:instrText xml:space="preserve"> HYPERLINK \l "_Toc18672559" </w:instrText>
      </w:r>
      <w:r>
        <w:fldChar w:fldCharType="separate"/>
      </w:r>
      <w:r>
        <w:rPr>
          <w:rStyle w:val="15"/>
        </w:rPr>
        <w:t xml:space="preserve">1. </w:t>
      </w:r>
      <w:r>
        <w:rPr>
          <w:rStyle w:val="15"/>
          <w:rFonts w:hint="eastAsia"/>
        </w:rPr>
        <w:t>总则</w:t>
      </w:r>
      <w:r>
        <w:tab/>
      </w:r>
      <w:r>
        <w:fldChar w:fldCharType="begin"/>
      </w:r>
      <w:r>
        <w:instrText xml:space="preserve"> PAGEREF _Toc18672559 \h </w:instrText>
      </w:r>
      <w:r>
        <w:fldChar w:fldCharType="separate"/>
      </w:r>
      <w:r>
        <w:t>6</w:t>
      </w:r>
      <w:r>
        <w:fldChar w:fldCharType="end"/>
      </w:r>
      <w:r>
        <w:fldChar w:fldCharType="end"/>
      </w:r>
    </w:p>
    <w:p>
      <w:pPr>
        <w:pStyle w:val="12"/>
        <w:ind w:left="420"/>
        <w:rPr>
          <w:rFonts w:ascii="Calibri" w:hAnsi="Calibri"/>
          <w:sz w:val="21"/>
        </w:rPr>
      </w:pPr>
      <w:r>
        <w:fldChar w:fldCharType="begin"/>
      </w:r>
      <w:r>
        <w:instrText xml:space="preserve"> HYPERLINK \l "_Toc18672560" </w:instrText>
      </w:r>
      <w:r>
        <w:fldChar w:fldCharType="separate"/>
      </w:r>
      <w:r>
        <w:rPr>
          <w:rStyle w:val="15"/>
        </w:rPr>
        <w:t xml:space="preserve">2. </w:t>
      </w:r>
      <w:r>
        <w:rPr>
          <w:rStyle w:val="15"/>
          <w:rFonts w:hint="eastAsia"/>
        </w:rPr>
        <w:t>招标文件</w:t>
      </w:r>
      <w:r>
        <w:tab/>
      </w:r>
      <w:r>
        <w:fldChar w:fldCharType="begin"/>
      </w:r>
      <w:r>
        <w:instrText xml:space="preserve"> PAGEREF _Toc18672560 \h </w:instrText>
      </w:r>
      <w:r>
        <w:fldChar w:fldCharType="separate"/>
      </w:r>
      <w:r>
        <w:t>7</w:t>
      </w:r>
      <w:r>
        <w:fldChar w:fldCharType="end"/>
      </w:r>
      <w:r>
        <w:fldChar w:fldCharType="end"/>
      </w:r>
    </w:p>
    <w:p>
      <w:pPr>
        <w:pStyle w:val="12"/>
        <w:ind w:left="420"/>
        <w:rPr>
          <w:rFonts w:ascii="Calibri" w:hAnsi="Calibri"/>
          <w:sz w:val="21"/>
        </w:rPr>
      </w:pPr>
      <w:r>
        <w:fldChar w:fldCharType="begin"/>
      </w:r>
      <w:r>
        <w:instrText xml:space="preserve"> HYPERLINK \l "_Toc18672561" </w:instrText>
      </w:r>
      <w:r>
        <w:fldChar w:fldCharType="separate"/>
      </w:r>
      <w:r>
        <w:rPr>
          <w:rStyle w:val="15"/>
        </w:rPr>
        <w:t xml:space="preserve">3. </w:t>
      </w:r>
      <w:r>
        <w:rPr>
          <w:rStyle w:val="15"/>
          <w:rFonts w:hint="eastAsia"/>
        </w:rPr>
        <w:t>投标文件</w:t>
      </w:r>
      <w:r>
        <w:tab/>
      </w:r>
      <w:r>
        <w:fldChar w:fldCharType="begin"/>
      </w:r>
      <w:r>
        <w:instrText xml:space="preserve"> PAGEREF _Toc18672561 \h </w:instrText>
      </w:r>
      <w:r>
        <w:fldChar w:fldCharType="separate"/>
      </w:r>
      <w:r>
        <w:t>8</w:t>
      </w:r>
      <w:r>
        <w:fldChar w:fldCharType="end"/>
      </w:r>
      <w:r>
        <w:fldChar w:fldCharType="end"/>
      </w:r>
    </w:p>
    <w:p>
      <w:pPr>
        <w:pStyle w:val="12"/>
        <w:ind w:left="420"/>
        <w:rPr>
          <w:rFonts w:ascii="Calibri" w:hAnsi="Calibri"/>
          <w:sz w:val="21"/>
        </w:rPr>
      </w:pPr>
      <w:r>
        <w:fldChar w:fldCharType="begin"/>
      </w:r>
      <w:r>
        <w:instrText xml:space="preserve"> HYPERLINK \l "_Toc18672562" </w:instrText>
      </w:r>
      <w:r>
        <w:fldChar w:fldCharType="separate"/>
      </w:r>
      <w:r>
        <w:rPr>
          <w:rStyle w:val="15"/>
        </w:rPr>
        <w:t xml:space="preserve">4. </w:t>
      </w:r>
      <w:r>
        <w:rPr>
          <w:rStyle w:val="15"/>
          <w:rFonts w:hint="eastAsia"/>
        </w:rPr>
        <w:t>投标</w:t>
      </w:r>
      <w:r>
        <w:tab/>
      </w:r>
      <w:r>
        <w:fldChar w:fldCharType="begin"/>
      </w:r>
      <w:r>
        <w:instrText xml:space="preserve"> PAGEREF _Toc18672562 \h </w:instrText>
      </w:r>
      <w:r>
        <w:fldChar w:fldCharType="separate"/>
      </w:r>
      <w:r>
        <w:t>10</w:t>
      </w:r>
      <w:r>
        <w:fldChar w:fldCharType="end"/>
      </w:r>
      <w:r>
        <w:fldChar w:fldCharType="end"/>
      </w:r>
    </w:p>
    <w:p>
      <w:pPr>
        <w:pStyle w:val="12"/>
        <w:ind w:left="420"/>
        <w:rPr>
          <w:rFonts w:ascii="Calibri" w:hAnsi="Calibri"/>
          <w:sz w:val="21"/>
        </w:rPr>
      </w:pPr>
      <w:r>
        <w:fldChar w:fldCharType="begin"/>
      </w:r>
      <w:r>
        <w:instrText xml:space="preserve"> HYPERLINK \l "_Toc18672563" </w:instrText>
      </w:r>
      <w:r>
        <w:fldChar w:fldCharType="separate"/>
      </w:r>
      <w:r>
        <w:rPr>
          <w:rStyle w:val="15"/>
        </w:rPr>
        <w:t xml:space="preserve">5. </w:t>
      </w:r>
      <w:r>
        <w:rPr>
          <w:rStyle w:val="15"/>
          <w:rFonts w:hint="eastAsia"/>
        </w:rPr>
        <w:t>开标</w:t>
      </w:r>
      <w:r>
        <w:tab/>
      </w:r>
      <w:r>
        <w:fldChar w:fldCharType="begin"/>
      </w:r>
      <w:r>
        <w:instrText xml:space="preserve"> PAGEREF _Toc18672563 \h </w:instrText>
      </w:r>
      <w:r>
        <w:fldChar w:fldCharType="separate"/>
      </w:r>
      <w:r>
        <w:t>12</w:t>
      </w:r>
      <w:r>
        <w:fldChar w:fldCharType="end"/>
      </w:r>
      <w:r>
        <w:fldChar w:fldCharType="end"/>
      </w:r>
    </w:p>
    <w:p>
      <w:pPr>
        <w:pStyle w:val="12"/>
        <w:ind w:left="420"/>
        <w:rPr>
          <w:rFonts w:ascii="Calibri" w:hAnsi="Calibri"/>
          <w:sz w:val="21"/>
        </w:rPr>
      </w:pPr>
      <w:r>
        <w:fldChar w:fldCharType="begin"/>
      </w:r>
      <w:r>
        <w:instrText xml:space="preserve"> HYPERLINK \l "_Toc18672564" </w:instrText>
      </w:r>
      <w:r>
        <w:fldChar w:fldCharType="separate"/>
      </w:r>
      <w:r>
        <w:rPr>
          <w:rStyle w:val="15"/>
        </w:rPr>
        <w:t xml:space="preserve">6. </w:t>
      </w:r>
      <w:r>
        <w:rPr>
          <w:rStyle w:val="15"/>
          <w:rFonts w:hint="eastAsia"/>
        </w:rPr>
        <w:t>评标</w:t>
      </w:r>
      <w:r>
        <w:tab/>
      </w:r>
      <w:r>
        <w:fldChar w:fldCharType="begin"/>
      </w:r>
      <w:r>
        <w:instrText xml:space="preserve"> PAGEREF _Toc18672564 \h </w:instrText>
      </w:r>
      <w:r>
        <w:fldChar w:fldCharType="separate"/>
      </w:r>
      <w:r>
        <w:t>12</w:t>
      </w:r>
      <w:r>
        <w:fldChar w:fldCharType="end"/>
      </w:r>
      <w:r>
        <w:fldChar w:fldCharType="end"/>
      </w:r>
    </w:p>
    <w:p>
      <w:pPr>
        <w:pStyle w:val="12"/>
        <w:ind w:left="420"/>
        <w:rPr>
          <w:rFonts w:ascii="Calibri" w:hAnsi="Calibri"/>
          <w:sz w:val="21"/>
        </w:rPr>
      </w:pPr>
      <w:r>
        <w:fldChar w:fldCharType="begin"/>
      </w:r>
      <w:r>
        <w:instrText xml:space="preserve"> HYPERLINK \l "_Toc18672565" </w:instrText>
      </w:r>
      <w:r>
        <w:fldChar w:fldCharType="separate"/>
      </w:r>
      <w:r>
        <w:rPr>
          <w:rStyle w:val="15"/>
        </w:rPr>
        <w:t xml:space="preserve">7. </w:t>
      </w:r>
      <w:r>
        <w:rPr>
          <w:rStyle w:val="15"/>
          <w:rFonts w:hint="eastAsia"/>
        </w:rPr>
        <w:t>合同授予</w:t>
      </w:r>
      <w:r>
        <w:tab/>
      </w:r>
      <w:r>
        <w:fldChar w:fldCharType="begin"/>
      </w:r>
      <w:r>
        <w:instrText xml:space="preserve"> PAGEREF _Toc18672565 \h </w:instrText>
      </w:r>
      <w:r>
        <w:fldChar w:fldCharType="separate"/>
      </w:r>
      <w:r>
        <w:t>13</w:t>
      </w:r>
      <w:r>
        <w:fldChar w:fldCharType="end"/>
      </w:r>
      <w:r>
        <w:fldChar w:fldCharType="end"/>
      </w:r>
    </w:p>
    <w:p>
      <w:pPr>
        <w:pStyle w:val="12"/>
        <w:ind w:left="420"/>
        <w:rPr>
          <w:rFonts w:ascii="Calibri" w:hAnsi="Calibri"/>
          <w:sz w:val="21"/>
        </w:rPr>
      </w:pPr>
      <w:r>
        <w:fldChar w:fldCharType="begin"/>
      </w:r>
      <w:r>
        <w:instrText xml:space="preserve"> HYPERLINK \l "_Toc18672566" </w:instrText>
      </w:r>
      <w:r>
        <w:fldChar w:fldCharType="separate"/>
      </w:r>
      <w:r>
        <w:rPr>
          <w:rStyle w:val="15"/>
        </w:rPr>
        <w:t xml:space="preserve">8. </w:t>
      </w:r>
      <w:r>
        <w:rPr>
          <w:rStyle w:val="15"/>
          <w:rFonts w:hint="eastAsia"/>
        </w:rPr>
        <w:t>重新招标、不再招标和终止招标</w:t>
      </w:r>
      <w:r>
        <w:tab/>
      </w:r>
      <w:r>
        <w:fldChar w:fldCharType="begin"/>
      </w:r>
      <w:r>
        <w:instrText xml:space="preserve"> PAGEREF _Toc18672566 \h </w:instrText>
      </w:r>
      <w:r>
        <w:fldChar w:fldCharType="separate"/>
      </w:r>
      <w:r>
        <w:t>14</w:t>
      </w:r>
      <w:r>
        <w:fldChar w:fldCharType="end"/>
      </w:r>
      <w:r>
        <w:fldChar w:fldCharType="end"/>
      </w:r>
    </w:p>
    <w:p>
      <w:pPr>
        <w:pStyle w:val="12"/>
        <w:ind w:left="420"/>
        <w:rPr>
          <w:rFonts w:ascii="Calibri" w:hAnsi="Calibri"/>
          <w:sz w:val="21"/>
        </w:rPr>
      </w:pPr>
      <w:r>
        <w:fldChar w:fldCharType="begin"/>
      </w:r>
      <w:r>
        <w:instrText xml:space="preserve"> HYPERLINK \l "_Toc18672567" </w:instrText>
      </w:r>
      <w:r>
        <w:fldChar w:fldCharType="separate"/>
      </w:r>
      <w:r>
        <w:rPr>
          <w:rStyle w:val="15"/>
        </w:rPr>
        <w:t xml:space="preserve">9. </w:t>
      </w:r>
      <w:r>
        <w:rPr>
          <w:rStyle w:val="15"/>
          <w:rFonts w:hint="eastAsia"/>
        </w:rPr>
        <w:t>纪律和监督</w:t>
      </w:r>
      <w:r>
        <w:tab/>
      </w:r>
      <w:r>
        <w:fldChar w:fldCharType="begin"/>
      </w:r>
      <w:r>
        <w:instrText xml:space="preserve"> PAGEREF _Toc18672567 \h </w:instrText>
      </w:r>
      <w:r>
        <w:fldChar w:fldCharType="separate"/>
      </w:r>
      <w:r>
        <w:t>15</w:t>
      </w:r>
      <w:r>
        <w:fldChar w:fldCharType="end"/>
      </w:r>
      <w:r>
        <w:fldChar w:fldCharType="end"/>
      </w:r>
    </w:p>
    <w:p>
      <w:pPr>
        <w:pStyle w:val="12"/>
        <w:ind w:left="420"/>
        <w:rPr>
          <w:rFonts w:ascii="Calibri" w:hAnsi="Calibri"/>
          <w:sz w:val="21"/>
        </w:rPr>
      </w:pPr>
      <w:r>
        <w:fldChar w:fldCharType="begin"/>
      </w:r>
      <w:r>
        <w:instrText xml:space="preserve"> HYPERLINK \l "_Toc18672568" </w:instrText>
      </w:r>
      <w:r>
        <w:fldChar w:fldCharType="separate"/>
      </w:r>
      <w:r>
        <w:rPr>
          <w:rStyle w:val="15"/>
          <w:rFonts w:hint="eastAsia"/>
        </w:rPr>
        <w:t>附表一：招标结果通知书</w:t>
      </w:r>
      <w:r>
        <w:tab/>
      </w:r>
      <w:r>
        <w:fldChar w:fldCharType="begin"/>
      </w:r>
      <w:r>
        <w:instrText xml:space="preserve"> PAGEREF _Toc18672568 \h </w:instrText>
      </w:r>
      <w:r>
        <w:fldChar w:fldCharType="separate"/>
      </w:r>
      <w:r>
        <w:t>17</w:t>
      </w:r>
      <w:r>
        <w:fldChar w:fldCharType="end"/>
      </w:r>
      <w:r>
        <w:fldChar w:fldCharType="end"/>
      </w:r>
    </w:p>
    <w:p>
      <w:pPr>
        <w:pStyle w:val="12"/>
        <w:ind w:left="420"/>
        <w:rPr>
          <w:rFonts w:ascii="Calibri" w:hAnsi="Calibri"/>
          <w:sz w:val="21"/>
        </w:rPr>
      </w:pPr>
      <w:r>
        <w:fldChar w:fldCharType="begin"/>
      </w:r>
      <w:r>
        <w:instrText xml:space="preserve"> HYPERLINK \l "_Toc18672569" </w:instrText>
      </w:r>
      <w:r>
        <w:fldChar w:fldCharType="separate"/>
      </w:r>
      <w:r>
        <w:rPr>
          <w:rStyle w:val="15"/>
          <w:rFonts w:hint="eastAsia"/>
        </w:rPr>
        <w:t>附表二：异议函</w:t>
      </w:r>
      <w:r>
        <w:tab/>
      </w:r>
      <w:r>
        <w:fldChar w:fldCharType="begin"/>
      </w:r>
      <w:r>
        <w:instrText xml:space="preserve"> PAGEREF _Toc18672569 \h </w:instrText>
      </w:r>
      <w:r>
        <w:fldChar w:fldCharType="separate"/>
      </w:r>
      <w:r>
        <w:t>18</w:t>
      </w:r>
      <w:r>
        <w:fldChar w:fldCharType="end"/>
      </w:r>
      <w:r>
        <w:fldChar w:fldCharType="end"/>
      </w:r>
    </w:p>
    <w:p>
      <w:pPr>
        <w:pStyle w:val="12"/>
        <w:ind w:left="420"/>
        <w:rPr>
          <w:rFonts w:ascii="Calibri" w:hAnsi="Calibri"/>
          <w:sz w:val="21"/>
        </w:rPr>
      </w:pPr>
      <w:r>
        <w:fldChar w:fldCharType="begin"/>
      </w:r>
      <w:r>
        <w:instrText xml:space="preserve"> HYPERLINK \l "_Toc18672570" </w:instrText>
      </w:r>
      <w:r>
        <w:fldChar w:fldCharType="separate"/>
      </w:r>
      <w:r>
        <w:rPr>
          <w:rStyle w:val="15"/>
          <w:rFonts w:hint="eastAsia"/>
        </w:rPr>
        <w:t>附表三：异议答复函</w:t>
      </w:r>
      <w:r>
        <w:tab/>
      </w:r>
      <w:r>
        <w:fldChar w:fldCharType="begin"/>
      </w:r>
      <w:r>
        <w:instrText xml:space="preserve"> PAGEREF _Toc18672570 \h </w:instrText>
      </w:r>
      <w:r>
        <w:fldChar w:fldCharType="separate"/>
      </w:r>
      <w:r>
        <w:t>19</w:t>
      </w:r>
      <w:r>
        <w:fldChar w:fldCharType="end"/>
      </w:r>
      <w:r>
        <w:fldChar w:fldCharType="end"/>
      </w:r>
    </w:p>
    <w:p>
      <w:pPr>
        <w:pStyle w:val="11"/>
        <w:rPr>
          <w:rFonts w:ascii="Calibri" w:hAnsi="Calibri"/>
          <w:b w:val="0"/>
          <w:sz w:val="21"/>
          <w:szCs w:val="22"/>
        </w:rPr>
      </w:pPr>
      <w:r>
        <w:fldChar w:fldCharType="begin"/>
      </w:r>
      <w:r>
        <w:instrText xml:space="preserve"> HYPERLINK \l "_Toc18672571" </w:instrText>
      </w:r>
      <w:r>
        <w:fldChar w:fldCharType="separate"/>
      </w:r>
      <w:r>
        <w:rPr>
          <w:rStyle w:val="15"/>
          <w:rFonts w:hint="eastAsia"/>
        </w:rPr>
        <w:t>第三章</w:t>
      </w:r>
      <w:r>
        <w:rPr>
          <w:rStyle w:val="15"/>
        </w:rPr>
        <w:t xml:space="preserve">  </w:t>
      </w:r>
      <w:r>
        <w:rPr>
          <w:rStyle w:val="15"/>
          <w:rFonts w:hint="eastAsia"/>
        </w:rPr>
        <w:t>评标办法（综合评估法）</w:t>
      </w:r>
      <w:r>
        <w:tab/>
      </w:r>
      <w:r>
        <w:fldChar w:fldCharType="begin"/>
      </w:r>
      <w:r>
        <w:instrText xml:space="preserve"> PAGEREF _Toc18672571 \h </w:instrText>
      </w:r>
      <w:r>
        <w:fldChar w:fldCharType="separate"/>
      </w:r>
      <w:r>
        <w:t>20</w:t>
      </w:r>
      <w:r>
        <w:fldChar w:fldCharType="end"/>
      </w:r>
      <w:r>
        <w:fldChar w:fldCharType="end"/>
      </w:r>
    </w:p>
    <w:p>
      <w:pPr>
        <w:pStyle w:val="12"/>
        <w:ind w:left="420"/>
        <w:rPr>
          <w:rFonts w:ascii="Calibri" w:hAnsi="Calibri"/>
          <w:sz w:val="21"/>
        </w:rPr>
      </w:pPr>
      <w:r>
        <w:fldChar w:fldCharType="begin"/>
      </w:r>
      <w:r>
        <w:instrText xml:space="preserve"> HYPERLINK \l "_Toc18672572" </w:instrText>
      </w:r>
      <w:r>
        <w:fldChar w:fldCharType="separate"/>
      </w:r>
      <w:r>
        <w:rPr>
          <w:rStyle w:val="15"/>
          <w:rFonts w:hint="eastAsia"/>
        </w:rPr>
        <w:t>评标办法前附表</w:t>
      </w:r>
      <w:r>
        <w:tab/>
      </w:r>
      <w:r>
        <w:fldChar w:fldCharType="begin"/>
      </w:r>
      <w:r>
        <w:instrText xml:space="preserve"> PAGEREF _Toc18672572 \h </w:instrText>
      </w:r>
      <w:r>
        <w:fldChar w:fldCharType="separate"/>
      </w:r>
      <w:r>
        <w:t>20</w:t>
      </w:r>
      <w:r>
        <w:fldChar w:fldCharType="end"/>
      </w:r>
      <w:r>
        <w:fldChar w:fldCharType="end"/>
      </w:r>
    </w:p>
    <w:p>
      <w:pPr>
        <w:pStyle w:val="12"/>
        <w:ind w:left="420"/>
        <w:rPr>
          <w:rFonts w:ascii="Calibri" w:hAnsi="Calibri"/>
          <w:sz w:val="21"/>
        </w:rPr>
      </w:pPr>
      <w:r>
        <w:fldChar w:fldCharType="begin"/>
      </w:r>
      <w:r>
        <w:instrText xml:space="preserve"> HYPERLINK \l "_Toc18672573" </w:instrText>
      </w:r>
      <w:r>
        <w:fldChar w:fldCharType="separate"/>
      </w:r>
      <w:r>
        <w:rPr>
          <w:rStyle w:val="15"/>
        </w:rPr>
        <w:t xml:space="preserve">1. </w:t>
      </w:r>
      <w:r>
        <w:rPr>
          <w:rStyle w:val="15"/>
          <w:rFonts w:hint="eastAsia"/>
        </w:rPr>
        <w:t>评标方法</w:t>
      </w:r>
      <w:r>
        <w:tab/>
      </w:r>
      <w:r>
        <w:fldChar w:fldCharType="begin"/>
      </w:r>
      <w:r>
        <w:instrText xml:space="preserve"> PAGEREF _Toc18672573 \h </w:instrText>
      </w:r>
      <w:r>
        <w:fldChar w:fldCharType="separate"/>
      </w:r>
      <w:r>
        <w:t>23</w:t>
      </w:r>
      <w:r>
        <w:fldChar w:fldCharType="end"/>
      </w:r>
      <w:r>
        <w:fldChar w:fldCharType="end"/>
      </w:r>
    </w:p>
    <w:p>
      <w:pPr>
        <w:pStyle w:val="12"/>
        <w:ind w:left="420"/>
        <w:rPr>
          <w:rFonts w:ascii="Calibri" w:hAnsi="Calibri"/>
          <w:sz w:val="21"/>
        </w:rPr>
      </w:pPr>
      <w:r>
        <w:fldChar w:fldCharType="begin"/>
      </w:r>
      <w:r>
        <w:instrText xml:space="preserve"> HYPERLINK \l "_Toc18672574" </w:instrText>
      </w:r>
      <w:r>
        <w:fldChar w:fldCharType="separate"/>
      </w:r>
      <w:r>
        <w:rPr>
          <w:rStyle w:val="15"/>
        </w:rPr>
        <w:t xml:space="preserve">2. </w:t>
      </w:r>
      <w:r>
        <w:rPr>
          <w:rStyle w:val="15"/>
          <w:rFonts w:hint="eastAsia"/>
        </w:rPr>
        <w:t>评审标准</w:t>
      </w:r>
      <w:r>
        <w:tab/>
      </w:r>
      <w:r>
        <w:fldChar w:fldCharType="begin"/>
      </w:r>
      <w:r>
        <w:instrText xml:space="preserve"> PAGEREF _Toc18672574 \h </w:instrText>
      </w:r>
      <w:r>
        <w:fldChar w:fldCharType="separate"/>
      </w:r>
      <w:r>
        <w:t>23</w:t>
      </w:r>
      <w:r>
        <w:fldChar w:fldCharType="end"/>
      </w:r>
      <w:r>
        <w:fldChar w:fldCharType="end"/>
      </w:r>
    </w:p>
    <w:p>
      <w:pPr>
        <w:pStyle w:val="12"/>
        <w:ind w:left="420"/>
        <w:rPr>
          <w:rFonts w:ascii="Calibri" w:hAnsi="Calibri"/>
          <w:sz w:val="21"/>
        </w:rPr>
      </w:pPr>
      <w:r>
        <w:fldChar w:fldCharType="begin"/>
      </w:r>
      <w:r>
        <w:instrText xml:space="preserve"> HYPERLINK \l "_Toc18672575" </w:instrText>
      </w:r>
      <w:r>
        <w:fldChar w:fldCharType="separate"/>
      </w:r>
      <w:r>
        <w:rPr>
          <w:rStyle w:val="15"/>
        </w:rPr>
        <w:t xml:space="preserve">3. </w:t>
      </w:r>
      <w:r>
        <w:rPr>
          <w:rStyle w:val="15"/>
          <w:rFonts w:hint="eastAsia"/>
        </w:rPr>
        <w:t>评标程序</w:t>
      </w:r>
      <w:r>
        <w:tab/>
      </w:r>
      <w:r>
        <w:fldChar w:fldCharType="begin"/>
      </w:r>
      <w:r>
        <w:instrText xml:space="preserve"> PAGEREF _Toc18672575 \h </w:instrText>
      </w:r>
      <w:r>
        <w:fldChar w:fldCharType="separate"/>
      </w:r>
      <w:r>
        <w:t>23</w:t>
      </w:r>
      <w:r>
        <w:fldChar w:fldCharType="end"/>
      </w:r>
      <w:r>
        <w:fldChar w:fldCharType="end"/>
      </w:r>
    </w:p>
    <w:p>
      <w:pPr>
        <w:pStyle w:val="12"/>
        <w:ind w:left="420"/>
        <w:rPr>
          <w:rFonts w:ascii="Calibri" w:hAnsi="Calibri"/>
          <w:sz w:val="21"/>
        </w:rPr>
      </w:pPr>
      <w:r>
        <w:fldChar w:fldCharType="begin"/>
      </w:r>
      <w:r>
        <w:instrText xml:space="preserve"> HYPERLINK \l "_Toc18672576" </w:instrText>
      </w:r>
      <w:r>
        <w:fldChar w:fldCharType="separate"/>
      </w:r>
      <w:r>
        <w:rPr>
          <w:rStyle w:val="15"/>
        </w:rPr>
        <w:t xml:space="preserve">4. </w:t>
      </w:r>
      <w:r>
        <w:rPr>
          <w:rStyle w:val="15"/>
          <w:rFonts w:hint="eastAsia"/>
        </w:rPr>
        <w:t>特殊情况的处置程序</w:t>
      </w:r>
      <w:r>
        <w:tab/>
      </w:r>
      <w:r>
        <w:fldChar w:fldCharType="begin"/>
      </w:r>
      <w:r>
        <w:instrText xml:space="preserve"> PAGEREF _Toc18672576 \h </w:instrText>
      </w:r>
      <w:r>
        <w:fldChar w:fldCharType="separate"/>
      </w:r>
      <w:r>
        <w:t>26</w:t>
      </w:r>
      <w:r>
        <w:fldChar w:fldCharType="end"/>
      </w:r>
      <w:r>
        <w:fldChar w:fldCharType="end"/>
      </w:r>
    </w:p>
    <w:p>
      <w:pPr>
        <w:pStyle w:val="12"/>
        <w:ind w:left="420"/>
        <w:rPr>
          <w:rFonts w:ascii="Calibri" w:hAnsi="Calibri"/>
          <w:sz w:val="21"/>
        </w:rPr>
      </w:pPr>
      <w:r>
        <w:fldChar w:fldCharType="begin"/>
      </w:r>
      <w:r>
        <w:instrText xml:space="preserve"> HYPERLINK \l "_Toc18672577" </w:instrText>
      </w:r>
      <w:r>
        <w:fldChar w:fldCharType="separate"/>
      </w:r>
      <w:r>
        <w:rPr>
          <w:rStyle w:val="15"/>
        </w:rPr>
        <w:t xml:space="preserve">5. </w:t>
      </w:r>
      <w:r>
        <w:rPr>
          <w:rStyle w:val="15"/>
          <w:rFonts w:hint="eastAsia"/>
        </w:rPr>
        <w:t>补充条款</w:t>
      </w:r>
      <w:r>
        <w:tab/>
      </w:r>
      <w:r>
        <w:fldChar w:fldCharType="begin"/>
      </w:r>
      <w:r>
        <w:instrText xml:space="preserve"> PAGEREF _Toc18672577 \h </w:instrText>
      </w:r>
      <w:r>
        <w:fldChar w:fldCharType="separate"/>
      </w:r>
      <w:r>
        <w:t>27</w:t>
      </w:r>
      <w:r>
        <w:fldChar w:fldCharType="end"/>
      </w:r>
      <w:r>
        <w:fldChar w:fldCharType="end"/>
      </w:r>
    </w:p>
    <w:p>
      <w:pPr>
        <w:pStyle w:val="11"/>
        <w:rPr>
          <w:rFonts w:ascii="Calibri" w:hAnsi="Calibri"/>
          <w:b w:val="0"/>
          <w:sz w:val="21"/>
          <w:szCs w:val="22"/>
        </w:rPr>
      </w:pPr>
      <w:r>
        <w:fldChar w:fldCharType="begin"/>
      </w:r>
      <w:r>
        <w:instrText xml:space="preserve"> HYPERLINK \l "_Toc18672578" </w:instrText>
      </w:r>
      <w:r>
        <w:fldChar w:fldCharType="separate"/>
      </w:r>
      <w:r>
        <w:rPr>
          <w:rStyle w:val="15"/>
          <w:rFonts w:hint="eastAsia"/>
        </w:rPr>
        <w:t>第四章</w:t>
      </w:r>
      <w:r>
        <w:rPr>
          <w:rStyle w:val="15"/>
        </w:rPr>
        <w:t xml:space="preserve">  </w:t>
      </w:r>
      <w:r>
        <w:rPr>
          <w:rStyle w:val="15"/>
          <w:rFonts w:hint="eastAsia"/>
        </w:rPr>
        <w:t>合同条款及格式</w:t>
      </w:r>
      <w:r>
        <w:tab/>
      </w:r>
      <w:r>
        <w:fldChar w:fldCharType="begin"/>
      </w:r>
      <w:r>
        <w:instrText xml:space="preserve"> PAGEREF _Toc18672578 \h </w:instrText>
      </w:r>
      <w:r>
        <w:fldChar w:fldCharType="separate"/>
      </w:r>
      <w:r>
        <w:t>28</w:t>
      </w:r>
      <w:r>
        <w:fldChar w:fldCharType="end"/>
      </w:r>
      <w:r>
        <w:fldChar w:fldCharType="end"/>
      </w:r>
    </w:p>
    <w:p>
      <w:pPr>
        <w:pStyle w:val="11"/>
        <w:rPr>
          <w:rFonts w:ascii="Calibri" w:hAnsi="Calibri"/>
          <w:b w:val="0"/>
          <w:sz w:val="21"/>
          <w:szCs w:val="22"/>
        </w:rPr>
      </w:pPr>
      <w:r>
        <w:fldChar w:fldCharType="begin"/>
      </w:r>
      <w:r>
        <w:instrText xml:space="preserve"> HYPERLINK \l "_Toc18672579" </w:instrText>
      </w:r>
      <w:r>
        <w:fldChar w:fldCharType="separate"/>
      </w:r>
      <w:r>
        <w:rPr>
          <w:rStyle w:val="15"/>
          <w:rFonts w:hint="eastAsia"/>
        </w:rPr>
        <w:t>第五章</w:t>
      </w:r>
      <w:r>
        <w:rPr>
          <w:rStyle w:val="15"/>
        </w:rPr>
        <w:t xml:space="preserve"> </w:t>
      </w:r>
      <w:r>
        <w:rPr>
          <w:rStyle w:val="15"/>
          <w:rFonts w:hint="eastAsia"/>
        </w:rPr>
        <w:t>采购需求</w:t>
      </w:r>
      <w:r>
        <w:tab/>
      </w:r>
      <w:r>
        <w:fldChar w:fldCharType="begin"/>
      </w:r>
      <w:r>
        <w:instrText xml:space="preserve"> PAGEREF _Toc18672579 \h </w:instrText>
      </w:r>
      <w:r>
        <w:fldChar w:fldCharType="separate"/>
      </w:r>
      <w:r>
        <w:t>34</w:t>
      </w:r>
      <w:r>
        <w:fldChar w:fldCharType="end"/>
      </w:r>
      <w:r>
        <w:fldChar w:fldCharType="end"/>
      </w:r>
    </w:p>
    <w:p>
      <w:pPr>
        <w:pStyle w:val="12"/>
        <w:ind w:left="420"/>
        <w:rPr>
          <w:rFonts w:ascii="Calibri" w:hAnsi="Calibri"/>
          <w:sz w:val="21"/>
        </w:rPr>
      </w:pPr>
      <w:r>
        <w:fldChar w:fldCharType="begin"/>
      </w:r>
      <w:r>
        <w:instrText xml:space="preserve"> HYPERLINK \l "_Toc18672580" </w:instrText>
      </w:r>
      <w:r>
        <w:fldChar w:fldCharType="separate"/>
      </w:r>
      <w:r>
        <w:rPr>
          <w:rStyle w:val="15"/>
          <w:rFonts w:hint="eastAsia" w:ascii="宋体" w:hAnsi="宋体" w:cs="宋体"/>
          <w:b/>
          <w:bCs/>
        </w:rPr>
        <w:t>一、采购项目背景</w:t>
      </w:r>
      <w:r>
        <w:rPr>
          <w:rStyle w:val="15"/>
          <w:rFonts w:hint="eastAsia" w:ascii="宋体" w:hAnsi="宋体" w:cs="宋体"/>
        </w:rPr>
        <w:t>：</w:t>
      </w:r>
      <w:r>
        <w:tab/>
      </w:r>
      <w:r>
        <w:fldChar w:fldCharType="begin"/>
      </w:r>
      <w:r>
        <w:instrText xml:space="preserve"> PAGEREF _Toc18672580 \h </w:instrText>
      </w:r>
      <w:r>
        <w:fldChar w:fldCharType="separate"/>
      </w:r>
      <w:r>
        <w:t>34</w:t>
      </w:r>
      <w:r>
        <w:fldChar w:fldCharType="end"/>
      </w:r>
      <w:r>
        <w:fldChar w:fldCharType="end"/>
      </w:r>
    </w:p>
    <w:p>
      <w:pPr>
        <w:pStyle w:val="12"/>
        <w:ind w:left="420"/>
        <w:rPr>
          <w:rFonts w:ascii="Calibri" w:hAnsi="Calibri"/>
          <w:sz w:val="21"/>
        </w:rPr>
      </w:pPr>
      <w:r>
        <w:fldChar w:fldCharType="begin"/>
      </w:r>
      <w:r>
        <w:instrText xml:space="preserve"> HYPERLINK \l "_Toc18672582" </w:instrText>
      </w:r>
      <w:r>
        <w:fldChar w:fldCharType="separate"/>
      </w:r>
      <w:r>
        <w:rPr>
          <w:rStyle w:val="15"/>
          <w:rFonts w:hint="eastAsia" w:ascii="宋体" w:hAnsi="宋体" w:cs="宋体"/>
          <w:b/>
          <w:bCs/>
        </w:rPr>
        <w:t>二、采购项目介绍</w:t>
      </w:r>
      <w:r>
        <w:tab/>
      </w:r>
      <w:r>
        <w:fldChar w:fldCharType="begin"/>
      </w:r>
      <w:r>
        <w:instrText xml:space="preserve"> PAGEREF _Toc18672582 \h </w:instrText>
      </w:r>
      <w:r>
        <w:fldChar w:fldCharType="separate"/>
      </w:r>
      <w:r>
        <w:t>34</w:t>
      </w:r>
      <w:r>
        <w:fldChar w:fldCharType="end"/>
      </w:r>
      <w:r>
        <w:fldChar w:fldCharType="end"/>
      </w:r>
    </w:p>
    <w:p>
      <w:pPr>
        <w:pStyle w:val="12"/>
        <w:ind w:left="420"/>
        <w:rPr>
          <w:rFonts w:ascii="Calibri" w:hAnsi="Calibri"/>
          <w:sz w:val="21"/>
        </w:rPr>
      </w:pPr>
      <w:r>
        <w:fldChar w:fldCharType="begin"/>
      </w:r>
      <w:r>
        <w:instrText xml:space="preserve"> HYPERLINK \l "_Toc18672583" </w:instrText>
      </w:r>
      <w:r>
        <w:fldChar w:fldCharType="separate"/>
      </w:r>
      <w:r>
        <w:rPr>
          <w:rStyle w:val="15"/>
          <w:rFonts w:hint="eastAsia" w:cs="宋体"/>
        </w:rPr>
        <w:t>术语定义</w:t>
      </w:r>
      <w:r>
        <w:tab/>
      </w:r>
      <w:r>
        <w:fldChar w:fldCharType="begin"/>
      </w:r>
      <w:r>
        <w:instrText xml:space="preserve"> PAGEREF _Toc18672583 \h </w:instrText>
      </w:r>
      <w:r>
        <w:fldChar w:fldCharType="separate"/>
      </w:r>
      <w:r>
        <w:t>34</w:t>
      </w:r>
      <w:r>
        <w:fldChar w:fldCharType="end"/>
      </w:r>
      <w:r>
        <w:fldChar w:fldCharType="end"/>
      </w:r>
    </w:p>
    <w:p>
      <w:pPr>
        <w:pStyle w:val="12"/>
        <w:ind w:left="420"/>
        <w:rPr>
          <w:rFonts w:ascii="Calibri" w:hAnsi="Calibri"/>
          <w:sz w:val="21"/>
        </w:rPr>
      </w:pPr>
      <w:r>
        <w:fldChar w:fldCharType="begin"/>
      </w:r>
      <w:r>
        <w:instrText xml:space="preserve"> HYPERLINK \l "_Toc18672584" </w:instrText>
      </w:r>
      <w:r>
        <w:fldChar w:fldCharType="separate"/>
      </w:r>
      <w:r>
        <w:rPr>
          <w:rStyle w:val="15"/>
          <w:rFonts w:hint="eastAsia"/>
        </w:rPr>
        <w:t>参考资料</w:t>
      </w:r>
      <w:r>
        <w:tab/>
      </w:r>
      <w:r>
        <w:fldChar w:fldCharType="begin"/>
      </w:r>
      <w:r>
        <w:instrText xml:space="preserve"> PAGEREF _Toc18672584 \h </w:instrText>
      </w:r>
      <w:r>
        <w:fldChar w:fldCharType="separate"/>
      </w:r>
      <w:r>
        <w:t>34</w:t>
      </w:r>
      <w:r>
        <w:fldChar w:fldCharType="end"/>
      </w:r>
      <w:r>
        <w:fldChar w:fldCharType="end"/>
      </w:r>
    </w:p>
    <w:p>
      <w:pPr>
        <w:pStyle w:val="12"/>
        <w:ind w:left="420"/>
        <w:rPr>
          <w:rFonts w:ascii="Calibri" w:hAnsi="Calibri"/>
          <w:sz w:val="21"/>
        </w:rPr>
      </w:pPr>
      <w:r>
        <w:fldChar w:fldCharType="begin"/>
      </w:r>
      <w:r>
        <w:instrText xml:space="preserve"> HYPERLINK \l "_Toc18672585" </w:instrText>
      </w:r>
      <w:r>
        <w:fldChar w:fldCharType="separate"/>
      </w:r>
      <w:r>
        <w:rPr>
          <w:rStyle w:val="15"/>
          <w:rFonts w:hint="eastAsia"/>
        </w:rPr>
        <w:t>建设内容</w:t>
      </w:r>
      <w:r>
        <w:tab/>
      </w:r>
      <w:r>
        <w:fldChar w:fldCharType="begin"/>
      </w:r>
      <w:r>
        <w:instrText xml:space="preserve"> PAGEREF _Toc18672585 \h </w:instrText>
      </w:r>
      <w:r>
        <w:fldChar w:fldCharType="separate"/>
      </w:r>
      <w:r>
        <w:t>34</w:t>
      </w:r>
      <w:r>
        <w:fldChar w:fldCharType="end"/>
      </w:r>
      <w:r>
        <w:fldChar w:fldCharType="end"/>
      </w:r>
    </w:p>
    <w:p>
      <w:pPr>
        <w:pStyle w:val="12"/>
        <w:ind w:left="420"/>
        <w:rPr>
          <w:rFonts w:ascii="Calibri" w:hAnsi="Calibri"/>
          <w:sz w:val="21"/>
        </w:rPr>
      </w:pPr>
      <w:r>
        <w:fldChar w:fldCharType="begin"/>
      </w:r>
      <w:r>
        <w:instrText xml:space="preserve"> HYPERLINK \l "_Toc18672586" </w:instrText>
      </w:r>
      <w:r>
        <w:fldChar w:fldCharType="separate"/>
      </w:r>
      <w:r>
        <w:rPr>
          <w:rStyle w:val="15"/>
          <w:rFonts w:hint="eastAsia" w:ascii="宋体" w:hAnsi="宋体" w:cs="宋体"/>
          <w:b/>
          <w:bCs/>
        </w:rPr>
        <w:t>三、</w:t>
      </w:r>
      <w:r>
        <w:rPr>
          <w:rStyle w:val="15"/>
          <w:rFonts w:hint="eastAsia" w:ascii="宋体" w:hAnsi="宋体"/>
          <w:b/>
          <w:bCs/>
        </w:rPr>
        <w:t xml:space="preserve"> 软硬件清单</w:t>
      </w:r>
      <w:r>
        <w:tab/>
      </w:r>
      <w:r>
        <w:fldChar w:fldCharType="begin"/>
      </w:r>
      <w:r>
        <w:instrText xml:space="preserve"> PAGEREF _Toc18672586 \h </w:instrText>
      </w:r>
      <w:r>
        <w:fldChar w:fldCharType="separate"/>
      </w:r>
      <w:r>
        <w:t>41</w:t>
      </w:r>
      <w:r>
        <w:fldChar w:fldCharType="end"/>
      </w:r>
      <w:r>
        <w:fldChar w:fldCharType="end"/>
      </w:r>
    </w:p>
    <w:p>
      <w:pPr>
        <w:pStyle w:val="11"/>
        <w:rPr>
          <w:rFonts w:ascii="Calibri" w:hAnsi="Calibri"/>
          <w:b w:val="0"/>
          <w:sz w:val="21"/>
          <w:szCs w:val="22"/>
        </w:rPr>
      </w:pPr>
      <w:r>
        <w:fldChar w:fldCharType="begin"/>
      </w:r>
      <w:r>
        <w:instrText xml:space="preserve"> HYPERLINK \l "_Toc18672587" </w:instrText>
      </w:r>
      <w:r>
        <w:fldChar w:fldCharType="separate"/>
      </w:r>
      <w:r>
        <w:rPr>
          <w:rStyle w:val="15"/>
          <w:rFonts w:hint="eastAsia"/>
        </w:rPr>
        <w:t>第六章</w:t>
      </w:r>
      <w:r>
        <w:rPr>
          <w:rStyle w:val="15"/>
        </w:rPr>
        <w:t xml:space="preserve">  </w:t>
      </w:r>
      <w:r>
        <w:rPr>
          <w:rStyle w:val="15"/>
          <w:rFonts w:hint="eastAsia"/>
        </w:rPr>
        <w:t>投标文件格式</w:t>
      </w:r>
      <w:r>
        <w:tab/>
      </w:r>
      <w:r>
        <w:fldChar w:fldCharType="begin"/>
      </w:r>
      <w:r>
        <w:instrText xml:space="preserve"> PAGEREF _Toc18672587 \h </w:instrText>
      </w:r>
      <w:r>
        <w:fldChar w:fldCharType="separate"/>
      </w:r>
      <w:r>
        <w:t>48</w:t>
      </w:r>
      <w:r>
        <w:fldChar w:fldCharType="end"/>
      </w:r>
      <w:r>
        <w:fldChar w:fldCharType="end"/>
      </w:r>
    </w:p>
    <w:p>
      <w:pPr>
        <w:pStyle w:val="12"/>
        <w:ind w:left="420"/>
        <w:rPr>
          <w:rFonts w:ascii="Calibri" w:hAnsi="Calibri"/>
          <w:sz w:val="21"/>
        </w:rPr>
      </w:pPr>
      <w:r>
        <w:fldChar w:fldCharType="begin"/>
      </w:r>
      <w:r>
        <w:instrText xml:space="preserve"> HYPERLINK \l "_Toc18672588" </w:instrText>
      </w:r>
      <w:r>
        <w:fldChar w:fldCharType="separate"/>
      </w:r>
      <w:r>
        <w:rPr>
          <w:rStyle w:val="15"/>
          <w:rFonts w:hint="eastAsia" w:ascii="宋体" w:hAnsi="宋体"/>
        </w:rPr>
        <w:t>商务文件组成</w:t>
      </w:r>
      <w:r>
        <w:tab/>
      </w:r>
      <w:r>
        <w:fldChar w:fldCharType="begin"/>
      </w:r>
      <w:r>
        <w:instrText xml:space="preserve"> PAGEREF _Toc18672588 \h </w:instrText>
      </w:r>
      <w:r>
        <w:fldChar w:fldCharType="separate"/>
      </w:r>
      <w:r>
        <w:t>49</w:t>
      </w:r>
      <w:r>
        <w:fldChar w:fldCharType="end"/>
      </w:r>
      <w:r>
        <w:fldChar w:fldCharType="end"/>
      </w:r>
    </w:p>
    <w:p>
      <w:pPr>
        <w:rPr>
          <w:color w:val="000000"/>
        </w:rPr>
        <w:sectPr>
          <w:footerReference r:id="rId3" w:type="default"/>
          <w:pgSz w:w="11906" w:h="16838"/>
          <w:pgMar w:top="1440" w:right="1800" w:bottom="1440" w:left="1800" w:header="851" w:footer="992" w:gutter="0"/>
          <w:pgNumType w:fmt="upperRoman" w:start="1"/>
          <w:cols w:space="720" w:num="1"/>
          <w:docGrid w:type="lines" w:linePitch="312" w:charSpace="0"/>
        </w:sectPr>
      </w:pPr>
      <w:r>
        <w:rPr>
          <w:color w:val="000000"/>
        </w:rPr>
        <w:fldChar w:fldCharType="end"/>
      </w:r>
    </w:p>
    <w:p>
      <w:pPr>
        <w:pStyle w:val="2"/>
        <w:pageBreakBefore/>
        <w:rPr>
          <w:color w:val="000000"/>
        </w:rPr>
      </w:pPr>
      <w:bookmarkStart w:id="1" w:name="_Toc18672555"/>
      <w:bookmarkStart w:id="2" w:name="_Toc522293502"/>
      <w:r>
        <w:rPr>
          <w:rFonts w:hint="eastAsia"/>
          <w:color w:val="000000"/>
        </w:rPr>
        <w:t>第一章  招标公告</w:t>
      </w:r>
      <w:bookmarkEnd w:id="1"/>
      <w:bookmarkEnd w:id="2"/>
    </w:p>
    <w:p>
      <w:pPr>
        <w:widowControl/>
        <w:spacing w:line="460" w:lineRule="exact"/>
        <w:ind w:firstLine="422" w:firstLineChars="200"/>
        <w:jc w:val="left"/>
        <w:rPr>
          <w:rFonts w:ascii="宋体" w:hAnsi="宋体"/>
          <w:b/>
          <w:color w:val="000000"/>
          <w:kern w:val="0"/>
          <w:szCs w:val="21"/>
        </w:rPr>
      </w:pPr>
      <w:bookmarkStart w:id="3" w:name="_Toc522293503"/>
      <w:r>
        <w:rPr>
          <w:rFonts w:hint="eastAsia" w:ascii="宋体" w:hAnsi="宋体"/>
          <w:b/>
          <w:color w:val="000000"/>
          <w:kern w:val="0"/>
          <w:szCs w:val="21"/>
        </w:rPr>
        <w:t>1.招标条件</w:t>
      </w:r>
    </w:p>
    <w:p>
      <w:pPr>
        <w:widowControl/>
        <w:spacing w:line="460" w:lineRule="exact"/>
        <w:ind w:firstLine="420" w:firstLineChars="200"/>
        <w:jc w:val="left"/>
        <w:rPr>
          <w:rFonts w:ascii="宋体" w:hAnsi="宋体"/>
          <w:color w:val="000000"/>
          <w:kern w:val="0"/>
          <w:szCs w:val="21"/>
        </w:rPr>
      </w:pPr>
      <w:r>
        <w:rPr>
          <w:rFonts w:hint="eastAsia" w:ascii="宋体" w:hAnsi="宋体"/>
          <w:color w:val="000000"/>
          <w:kern w:val="0"/>
          <w:szCs w:val="21"/>
        </w:rPr>
        <w:t>本招标项目宜昌白洋港区东西大门智能闸口改造项目已由 宜昌市交通投资有限公司文件 批准建设，招标人为宜昌白洋港集装箱有限公司。项目已具备招标条件，现决定对该项目进行公开招标，选定承包人。</w:t>
      </w:r>
    </w:p>
    <w:p>
      <w:pPr>
        <w:widowControl/>
        <w:spacing w:line="460" w:lineRule="exact"/>
        <w:ind w:firstLine="422" w:firstLineChars="200"/>
        <w:jc w:val="left"/>
        <w:rPr>
          <w:rFonts w:ascii="宋体" w:hAnsi="宋体"/>
          <w:b/>
          <w:color w:val="000000"/>
          <w:kern w:val="0"/>
          <w:szCs w:val="21"/>
        </w:rPr>
      </w:pPr>
      <w:r>
        <w:rPr>
          <w:rFonts w:hint="eastAsia" w:ascii="宋体" w:hAnsi="宋体"/>
          <w:b/>
          <w:color w:val="000000"/>
          <w:kern w:val="0"/>
          <w:szCs w:val="21"/>
        </w:rPr>
        <w:t>2.项目概况与招标范围</w:t>
      </w:r>
    </w:p>
    <w:p>
      <w:pPr>
        <w:widowControl/>
        <w:spacing w:line="460" w:lineRule="exact"/>
        <w:ind w:firstLine="420" w:firstLineChars="200"/>
        <w:jc w:val="left"/>
        <w:rPr>
          <w:rFonts w:ascii="宋体" w:hAnsi="宋体"/>
          <w:color w:val="000000"/>
          <w:kern w:val="0"/>
          <w:szCs w:val="21"/>
        </w:rPr>
      </w:pPr>
      <w:r>
        <w:rPr>
          <w:rFonts w:hint="eastAsia" w:ascii="宋体" w:hAnsi="宋体"/>
          <w:color w:val="000000"/>
          <w:kern w:val="0"/>
          <w:szCs w:val="21"/>
        </w:rPr>
        <w:t>2.1项目概况：宜昌白洋港区东西大门智能闸口改造项目，建设地点位于宜昌市白洋港码头，主要招标内容为AI箱号识别系统、高清车牌识别系统、集装箱箱体验残系统、电子车牌识别系统、车架号识别系统、地磅称重系统、IC卡识别系统、智能闸口控制系统、LED显示屏系统、UPS系统，LED滚动屏系统、闸口集中管控系统等一批设备和系统的采购、安装、调试（详见招标文件“第三章采购需求”）</w:t>
      </w:r>
    </w:p>
    <w:p>
      <w:pPr>
        <w:widowControl/>
        <w:spacing w:line="460" w:lineRule="exact"/>
        <w:ind w:firstLine="420" w:firstLineChars="200"/>
        <w:jc w:val="left"/>
        <w:rPr>
          <w:rFonts w:ascii="宋体" w:hAnsi="宋体"/>
          <w:color w:val="000000"/>
          <w:kern w:val="0"/>
          <w:szCs w:val="21"/>
        </w:rPr>
      </w:pPr>
      <w:r>
        <w:rPr>
          <w:rFonts w:hint="eastAsia" w:ascii="宋体" w:hAnsi="宋体"/>
          <w:color w:val="000000"/>
          <w:kern w:val="0"/>
          <w:szCs w:val="21"/>
        </w:rPr>
        <w:t>2.2本招标项目的计划工期：</w:t>
      </w:r>
      <w:r>
        <w:rPr>
          <w:rFonts w:hint="eastAsia" w:ascii="宋体" w:hAnsi="宋体"/>
          <w:color w:val="000000"/>
          <w:kern w:val="0"/>
          <w:szCs w:val="21"/>
          <w:u w:val="single"/>
        </w:rPr>
        <w:t>45</w:t>
      </w:r>
      <w:r>
        <w:rPr>
          <w:rFonts w:hint="eastAsia" w:ascii="宋体" w:hAnsi="宋体"/>
          <w:color w:val="000000"/>
          <w:kern w:val="0"/>
          <w:szCs w:val="21"/>
        </w:rPr>
        <w:t>日历天。</w:t>
      </w:r>
    </w:p>
    <w:p>
      <w:pPr>
        <w:widowControl/>
        <w:spacing w:line="460" w:lineRule="exact"/>
        <w:ind w:left="422"/>
        <w:jc w:val="left"/>
        <w:rPr>
          <w:rFonts w:ascii="宋体" w:hAnsi="宋体"/>
          <w:color w:val="000000"/>
          <w:kern w:val="0"/>
          <w:szCs w:val="21"/>
        </w:rPr>
      </w:pPr>
      <w:r>
        <w:rPr>
          <w:rFonts w:hint="eastAsia" w:ascii="宋体" w:hAnsi="宋体"/>
          <w:b/>
          <w:color w:val="000000"/>
          <w:kern w:val="0"/>
          <w:szCs w:val="21"/>
        </w:rPr>
        <w:t>3.投标人资格要求：（</w:t>
      </w:r>
      <w:r>
        <w:rPr>
          <w:rFonts w:hint="eastAsia" w:ascii="宋体" w:hAnsi="宋体"/>
          <w:color w:val="000000"/>
          <w:kern w:val="0"/>
          <w:szCs w:val="21"/>
        </w:rPr>
        <w:t>本采购项目对投标人的资格审查采用资格后审方式，主要资格审查标准如下）：</w:t>
      </w:r>
    </w:p>
    <w:p>
      <w:pPr>
        <w:widowControl/>
        <w:spacing w:line="460" w:lineRule="exact"/>
        <w:ind w:firstLine="420" w:firstLineChars="200"/>
        <w:jc w:val="left"/>
        <w:rPr>
          <w:rFonts w:ascii="宋体" w:hAnsi="宋体"/>
          <w:color w:val="000000"/>
          <w:kern w:val="0"/>
          <w:szCs w:val="21"/>
        </w:rPr>
      </w:pPr>
      <w:r>
        <w:rPr>
          <w:rFonts w:hint="eastAsia" w:ascii="宋体" w:hAnsi="宋体"/>
          <w:color w:val="000000"/>
          <w:kern w:val="0"/>
          <w:szCs w:val="21"/>
        </w:rPr>
        <w:t>3.1必须是中华人民共和国境内注册的独立法人机构，投标人须具有工商行政主管部门核发的有效法人营业执照，投标人不得以分公司名义进行投标，投标文件的单位盖章必须使用其法人公章，分公司盖章无效。</w:t>
      </w:r>
    </w:p>
    <w:p>
      <w:pPr>
        <w:widowControl/>
        <w:spacing w:line="460" w:lineRule="exact"/>
        <w:ind w:firstLine="420" w:firstLineChars="200"/>
        <w:jc w:val="left"/>
        <w:rPr>
          <w:rFonts w:ascii="宋体" w:hAnsi="宋体"/>
          <w:color w:val="000000"/>
          <w:kern w:val="0"/>
          <w:szCs w:val="21"/>
        </w:rPr>
      </w:pPr>
      <w:r>
        <w:rPr>
          <w:rFonts w:hint="eastAsia" w:ascii="宋体" w:hAnsi="宋体"/>
          <w:color w:val="000000"/>
          <w:kern w:val="0"/>
          <w:szCs w:val="21"/>
        </w:rPr>
        <w:t>3.2投标人在“信用中国”网站，未被列入失信被执行人；在“国家企业信用信息公示系统”未被列入严重违法失信企业名单；在“湖北省公共资源招标投标信用信息平台”未被列入信用黑名单的投标人。</w:t>
      </w:r>
    </w:p>
    <w:p>
      <w:pPr>
        <w:widowControl/>
        <w:spacing w:line="460" w:lineRule="exact"/>
        <w:ind w:firstLine="420" w:firstLineChars="200"/>
        <w:jc w:val="left"/>
        <w:rPr>
          <w:rFonts w:ascii="宋体" w:hAnsi="宋体"/>
          <w:color w:val="000000"/>
          <w:kern w:val="0"/>
          <w:szCs w:val="21"/>
        </w:rPr>
      </w:pPr>
      <w:r>
        <w:rPr>
          <w:rFonts w:hint="eastAsia" w:ascii="宋体" w:hAnsi="宋体"/>
          <w:color w:val="000000"/>
          <w:kern w:val="0"/>
          <w:szCs w:val="21"/>
        </w:rPr>
        <w:t>3.3</w:t>
      </w:r>
      <w:r>
        <w:rPr>
          <w:rFonts w:hint="eastAsia" w:ascii="宋体" w:hAnsi="宋体"/>
          <w:szCs w:val="21"/>
        </w:rPr>
        <w:t>投标人自2015年1月1日以来（以合同签订时间为准）至少承接过一项集装箱智能闸口项目。</w:t>
      </w:r>
    </w:p>
    <w:p>
      <w:pPr>
        <w:widowControl/>
        <w:spacing w:line="460" w:lineRule="exact"/>
        <w:ind w:firstLine="420" w:firstLineChars="200"/>
        <w:jc w:val="left"/>
        <w:rPr>
          <w:rFonts w:ascii="宋体" w:hAnsi="宋体"/>
          <w:color w:val="000000"/>
          <w:kern w:val="0"/>
          <w:szCs w:val="21"/>
        </w:rPr>
      </w:pPr>
      <w:r>
        <w:rPr>
          <w:rFonts w:hint="eastAsia" w:ascii="宋体" w:hAnsi="宋体"/>
          <w:color w:val="000000"/>
          <w:kern w:val="0"/>
          <w:szCs w:val="21"/>
        </w:rPr>
        <w:t>3.4本项目不接受联合体投标，投标人须以独立投标人身份参与投标。</w:t>
      </w:r>
    </w:p>
    <w:p>
      <w:pPr>
        <w:widowControl/>
        <w:spacing w:line="460" w:lineRule="exact"/>
        <w:ind w:firstLine="420" w:firstLineChars="200"/>
        <w:jc w:val="left"/>
        <w:rPr>
          <w:rFonts w:ascii="宋体" w:hAnsi="宋体"/>
          <w:color w:val="000000"/>
          <w:kern w:val="0"/>
          <w:szCs w:val="21"/>
        </w:rPr>
      </w:pPr>
      <w:r>
        <w:rPr>
          <w:rFonts w:hint="eastAsia" w:ascii="宋体" w:hAnsi="宋体"/>
          <w:color w:val="000000"/>
          <w:kern w:val="0"/>
          <w:szCs w:val="21"/>
        </w:rPr>
        <w:t>投标人在制作投标文件时，应对照上述资格审查要求，提供证明材料原件扫描件并加盖投标人公章，否则评委将不予采信。</w:t>
      </w:r>
    </w:p>
    <w:p>
      <w:pPr>
        <w:widowControl/>
        <w:spacing w:line="460" w:lineRule="exact"/>
        <w:ind w:firstLine="420" w:firstLineChars="200"/>
        <w:jc w:val="left"/>
        <w:rPr>
          <w:rFonts w:ascii="宋体" w:hAnsi="宋体"/>
          <w:color w:val="000000"/>
          <w:kern w:val="0"/>
          <w:szCs w:val="21"/>
        </w:rPr>
      </w:pPr>
      <w:r>
        <w:rPr>
          <w:rFonts w:hint="eastAsia" w:ascii="宋体" w:hAnsi="宋体"/>
          <w:color w:val="000000"/>
          <w:kern w:val="0"/>
          <w:szCs w:val="21"/>
        </w:rPr>
        <w:t>只有符合以上所有标准的投标人才能通过资格审查。</w:t>
      </w:r>
    </w:p>
    <w:p>
      <w:pPr>
        <w:widowControl/>
        <w:spacing w:line="460" w:lineRule="exact"/>
        <w:ind w:firstLine="422" w:firstLineChars="200"/>
        <w:jc w:val="left"/>
        <w:rPr>
          <w:rFonts w:ascii="宋体" w:hAnsi="宋体"/>
          <w:b/>
          <w:color w:val="000000"/>
          <w:kern w:val="0"/>
          <w:szCs w:val="21"/>
        </w:rPr>
      </w:pPr>
      <w:r>
        <w:rPr>
          <w:rFonts w:hint="eastAsia" w:ascii="宋体" w:hAnsi="宋体"/>
          <w:b/>
          <w:color w:val="000000"/>
          <w:kern w:val="0"/>
          <w:szCs w:val="21"/>
        </w:rPr>
        <w:t>4.招标文件的获取：</w:t>
      </w:r>
    </w:p>
    <w:p>
      <w:pPr>
        <w:widowControl/>
        <w:spacing w:line="460" w:lineRule="exact"/>
        <w:ind w:firstLine="420" w:firstLineChars="200"/>
        <w:jc w:val="left"/>
        <w:rPr>
          <w:rFonts w:ascii="宋体" w:hAnsi="宋体"/>
          <w:color w:val="000000"/>
          <w:kern w:val="0"/>
          <w:szCs w:val="21"/>
        </w:rPr>
      </w:pPr>
      <w:r>
        <w:rPr>
          <w:rFonts w:hint="eastAsia" w:ascii="宋体" w:hAnsi="宋体"/>
          <w:color w:val="000000"/>
          <w:kern w:val="0"/>
          <w:szCs w:val="21"/>
        </w:rPr>
        <w:t>本项目实行网上下载招标文件。投标人须注册成为宜昌城建控股集团招标采购平台合格供应商后，方可登录招标采购专区下载招标文件及相关资料，具体操作参见《</w:t>
      </w:r>
      <w:r>
        <w:rPr>
          <w:rFonts w:ascii="宋体" w:hAnsi="宋体"/>
          <w:bCs/>
          <w:color w:val="000000"/>
          <w:kern w:val="0"/>
          <w:szCs w:val="21"/>
        </w:rPr>
        <w:t>宜昌城建控股集团</w:t>
      </w:r>
      <w:r>
        <w:rPr>
          <w:rFonts w:hint="eastAsia" w:ascii="宋体" w:hAnsi="宋体"/>
          <w:bCs/>
          <w:color w:val="000000"/>
          <w:kern w:val="0"/>
          <w:szCs w:val="21"/>
        </w:rPr>
        <w:t>招标采购平台</w:t>
      </w:r>
      <w:r>
        <w:rPr>
          <w:rFonts w:ascii="宋体" w:hAnsi="宋体"/>
          <w:bCs/>
          <w:color w:val="000000"/>
          <w:kern w:val="0"/>
          <w:szCs w:val="21"/>
        </w:rPr>
        <w:t>供应商门户操作手册</w:t>
      </w:r>
      <w:r>
        <w:rPr>
          <w:rFonts w:hint="eastAsia" w:ascii="宋体" w:hAnsi="宋体"/>
          <w:color w:val="000000"/>
          <w:kern w:val="0"/>
          <w:szCs w:val="21"/>
        </w:rPr>
        <w:t>》（平台链接为：</w:t>
      </w:r>
      <w:r>
        <w:rPr>
          <w:rFonts w:ascii="宋体" w:hAnsi="宋体"/>
          <w:color w:val="000000"/>
          <w:kern w:val="0"/>
          <w:szCs w:val="21"/>
        </w:rPr>
        <w:t>http://zbcg.ycjtjt.com/</w:t>
      </w:r>
      <w:r>
        <w:rPr>
          <w:rFonts w:hint="eastAsia" w:ascii="宋体" w:hAnsi="宋体"/>
          <w:color w:val="000000"/>
          <w:kern w:val="0"/>
          <w:szCs w:val="21"/>
        </w:rPr>
        <w:t>）。文件下载时间为 2019年10 月</w:t>
      </w:r>
      <w:r>
        <w:rPr>
          <w:rFonts w:hint="eastAsia" w:ascii="宋体" w:hAnsi="宋体"/>
          <w:color w:val="000000"/>
          <w:kern w:val="0"/>
          <w:szCs w:val="21"/>
          <w:lang w:val="en-US" w:eastAsia="zh-CN"/>
        </w:rPr>
        <w:t>11</w:t>
      </w:r>
      <w:r>
        <w:rPr>
          <w:rFonts w:hint="eastAsia" w:ascii="宋体" w:hAnsi="宋体"/>
          <w:color w:val="000000"/>
          <w:kern w:val="0"/>
          <w:szCs w:val="21"/>
        </w:rPr>
        <w:t>日至 2019年 10月</w:t>
      </w:r>
      <w:r>
        <w:rPr>
          <w:rFonts w:hint="eastAsia" w:ascii="宋体" w:hAnsi="宋体"/>
          <w:color w:val="000000"/>
          <w:kern w:val="0"/>
          <w:szCs w:val="21"/>
          <w:lang w:val="en-US" w:eastAsia="zh-CN"/>
        </w:rPr>
        <w:t>18</w:t>
      </w:r>
      <w:r>
        <w:rPr>
          <w:rFonts w:hint="eastAsia" w:ascii="宋体" w:hAnsi="宋体"/>
          <w:color w:val="000000"/>
          <w:kern w:val="0"/>
          <w:szCs w:val="21"/>
        </w:rPr>
        <w:t>日</w:t>
      </w:r>
      <w:r>
        <w:rPr>
          <w:rFonts w:hint="eastAsia" w:ascii="宋体" w:hAnsi="宋体"/>
          <w:color w:val="000000"/>
          <w:kern w:val="0"/>
          <w:szCs w:val="21"/>
          <w:lang w:val="en-US" w:eastAsia="zh-CN"/>
        </w:rPr>
        <w:t>12</w:t>
      </w:r>
      <w:r>
        <w:rPr>
          <w:rFonts w:hint="eastAsia" w:ascii="宋体" w:hAnsi="宋体"/>
          <w:color w:val="000000"/>
          <w:kern w:val="0"/>
          <w:szCs w:val="21"/>
        </w:rPr>
        <w:t>时 0分止。投标人未按规定在网上下载招标文件的，其投标将被拒绝。</w:t>
      </w:r>
    </w:p>
    <w:p>
      <w:pPr>
        <w:widowControl/>
        <w:spacing w:line="460" w:lineRule="exact"/>
        <w:ind w:firstLine="422" w:firstLineChars="200"/>
        <w:jc w:val="left"/>
        <w:rPr>
          <w:rFonts w:ascii="宋体" w:hAnsi="宋体"/>
          <w:b/>
          <w:color w:val="000000"/>
          <w:kern w:val="0"/>
          <w:szCs w:val="21"/>
        </w:rPr>
      </w:pPr>
      <w:r>
        <w:rPr>
          <w:rFonts w:hint="eastAsia" w:ascii="宋体" w:hAnsi="宋体"/>
          <w:b/>
          <w:color w:val="000000"/>
          <w:kern w:val="0"/>
          <w:szCs w:val="21"/>
        </w:rPr>
        <w:t xml:space="preserve">5.投标文件的递交 </w:t>
      </w:r>
    </w:p>
    <w:p>
      <w:pPr>
        <w:widowControl/>
        <w:spacing w:line="46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lang w:eastAsia="zh-CN" w:bidi="ar"/>
        </w:rPr>
        <w:t>投标</w:t>
      </w:r>
      <w:r>
        <w:rPr>
          <w:rFonts w:hint="eastAsia" w:ascii="宋体" w:hAnsi="宋体" w:cs="宋体"/>
          <w:color w:val="000000"/>
          <w:kern w:val="0"/>
          <w:szCs w:val="21"/>
          <w:lang w:bidi="ar"/>
        </w:rPr>
        <w:t>文件电子和纸质递交截止时间：2019 年10 月22 日9 时 30 分</w:t>
      </w:r>
    </w:p>
    <w:p>
      <w:pPr>
        <w:widowControl/>
        <w:spacing w:line="46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lang w:bidi="ar"/>
        </w:rPr>
        <w:t>（一）</w:t>
      </w:r>
      <w:r>
        <w:rPr>
          <w:rFonts w:hint="eastAsia" w:ascii="宋体" w:hAnsi="宋体" w:cs="宋体"/>
          <w:color w:val="000000"/>
          <w:kern w:val="0"/>
          <w:szCs w:val="21"/>
          <w:lang w:eastAsia="zh-CN" w:bidi="ar"/>
        </w:rPr>
        <w:t>投标</w:t>
      </w:r>
      <w:r>
        <w:rPr>
          <w:rFonts w:hint="eastAsia" w:ascii="宋体" w:hAnsi="宋体" w:cs="宋体"/>
          <w:color w:val="000000"/>
          <w:kern w:val="0"/>
          <w:szCs w:val="21"/>
          <w:lang w:bidi="ar"/>
        </w:rPr>
        <w:t>文件递交截止时间：2019 年10月22日9时 30分</w:t>
      </w:r>
    </w:p>
    <w:p>
      <w:pPr>
        <w:widowControl/>
        <w:spacing w:line="460" w:lineRule="exact"/>
        <w:ind w:firstLine="420" w:firstLineChars="200"/>
        <w:jc w:val="left"/>
        <w:rPr>
          <w:rFonts w:ascii="宋体" w:hAnsi="宋体" w:cs="宋体"/>
          <w:color w:val="000000"/>
          <w:kern w:val="0"/>
          <w:szCs w:val="21"/>
          <w:lang w:bidi="ar"/>
        </w:rPr>
      </w:pPr>
      <w:r>
        <w:rPr>
          <w:rFonts w:hint="eastAsia" w:ascii="宋体" w:hAnsi="宋体" w:cs="宋体"/>
          <w:color w:val="000000"/>
          <w:kern w:val="0"/>
          <w:szCs w:val="21"/>
          <w:lang w:bidi="ar"/>
        </w:rPr>
        <w:t>（二）</w:t>
      </w:r>
      <w:r>
        <w:rPr>
          <w:rFonts w:hint="eastAsia" w:ascii="宋体" w:hAnsi="宋体" w:cs="宋体"/>
          <w:color w:val="000000"/>
          <w:kern w:val="0"/>
          <w:szCs w:val="21"/>
          <w:lang w:eastAsia="zh-CN" w:bidi="ar"/>
        </w:rPr>
        <w:t>投标</w:t>
      </w:r>
      <w:r>
        <w:rPr>
          <w:rFonts w:hint="eastAsia" w:ascii="宋体" w:hAnsi="宋体" w:cs="宋体"/>
          <w:color w:val="000000"/>
          <w:kern w:val="0"/>
          <w:szCs w:val="21"/>
          <w:lang w:bidi="ar"/>
        </w:rPr>
        <w:t>文件递交方式及地点：</w:t>
      </w:r>
    </w:p>
    <w:p>
      <w:pPr>
        <w:widowControl/>
        <w:spacing w:line="460" w:lineRule="exact"/>
        <w:ind w:firstLine="420" w:firstLineChars="200"/>
        <w:jc w:val="left"/>
        <w:rPr>
          <w:rFonts w:ascii="宋体" w:hAnsi="宋体"/>
          <w:color w:val="000000"/>
          <w:kern w:val="0"/>
          <w:szCs w:val="21"/>
        </w:rPr>
      </w:pPr>
      <w:r>
        <w:rPr>
          <w:rFonts w:hint="eastAsia" w:ascii="宋体" w:hAnsi="宋体"/>
          <w:color w:val="000000"/>
          <w:kern w:val="0"/>
          <w:szCs w:val="21"/>
        </w:rPr>
        <w:t>（1）电子投标文件应登录宜昌城市建设投资控股集团有限公司招标采购平台账号点击宜昌白洋港区东西大门智能闸口改造项目“上传投标文件”按钮上传（具体操作参见《</w:t>
      </w:r>
      <w:r>
        <w:rPr>
          <w:rFonts w:ascii="宋体" w:hAnsi="宋体"/>
          <w:bCs/>
          <w:color w:val="000000"/>
          <w:kern w:val="0"/>
          <w:szCs w:val="21"/>
        </w:rPr>
        <w:t>宜昌城建控股集团</w:t>
      </w:r>
      <w:r>
        <w:rPr>
          <w:rFonts w:hint="eastAsia" w:ascii="宋体" w:hAnsi="宋体"/>
          <w:bCs/>
          <w:color w:val="000000"/>
          <w:kern w:val="0"/>
          <w:szCs w:val="21"/>
        </w:rPr>
        <w:t>招标采购平台</w:t>
      </w:r>
      <w:r>
        <w:rPr>
          <w:rFonts w:ascii="宋体" w:hAnsi="宋体"/>
          <w:bCs/>
          <w:color w:val="000000"/>
          <w:kern w:val="0"/>
          <w:szCs w:val="21"/>
        </w:rPr>
        <w:t>供应商门户操作手册</w:t>
      </w:r>
      <w:r>
        <w:rPr>
          <w:rFonts w:hint="eastAsia" w:ascii="宋体" w:hAnsi="宋体"/>
          <w:color w:val="000000"/>
          <w:kern w:val="0"/>
          <w:szCs w:val="21"/>
        </w:rPr>
        <w:t>》）。未在规定时间内传输到相关网站栏目的投标文件，采购人不予受理。</w:t>
      </w:r>
    </w:p>
    <w:p>
      <w:pPr>
        <w:widowControl/>
        <w:spacing w:line="460" w:lineRule="exact"/>
        <w:ind w:firstLine="420" w:firstLineChars="200"/>
        <w:jc w:val="left"/>
        <w:rPr>
          <w:rFonts w:ascii="宋体" w:hAnsi="宋体"/>
          <w:color w:val="000000"/>
          <w:kern w:val="0"/>
          <w:szCs w:val="21"/>
        </w:rPr>
      </w:pPr>
      <w:r>
        <w:rPr>
          <w:rFonts w:hint="eastAsia" w:ascii="宋体" w:hAnsi="宋体"/>
          <w:color w:val="000000"/>
          <w:kern w:val="0"/>
          <w:szCs w:val="21"/>
        </w:rPr>
        <w:t>（2）纸质投标文件递交到  宜昌城市投资控股集团（宜昌市伍家岗区沿江大道189号） 8楼评标室  逾期送达的或者未送达到指定地点的投标文件，采购人不予受理。</w:t>
      </w:r>
    </w:p>
    <w:p>
      <w:pPr>
        <w:widowControl/>
        <w:spacing w:line="460" w:lineRule="exact"/>
        <w:ind w:firstLine="420" w:firstLineChars="200"/>
        <w:jc w:val="left"/>
        <w:rPr>
          <w:rFonts w:ascii="宋体" w:hAnsi="宋体"/>
          <w:color w:val="000000"/>
          <w:kern w:val="0"/>
          <w:szCs w:val="21"/>
        </w:rPr>
      </w:pPr>
      <w:r>
        <w:rPr>
          <w:rFonts w:hint="eastAsia" w:ascii="宋体" w:hAnsi="宋体"/>
          <w:color w:val="000000"/>
          <w:kern w:val="0"/>
          <w:szCs w:val="21"/>
        </w:rPr>
        <w:t>（3）投标时间截止后，招标人将通过OA系统招采门户对应招标项目“招标文件发布流程信息表单”中点击“发送解密提醒”按钮，系统自动发送邮件及微信提醒至投标人注册时填写的邮箱及授权联系人绑定的微信，投标人在收到招标人发出的解密提醒后，在规定时间内完成投标文件的解密； 投标人自身原因造成未规定时间之前解密投标文件的，其投标无效。</w:t>
      </w:r>
    </w:p>
    <w:p>
      <w:pPr>
        <w:widowControl/>
        <w:spacing w:line="460" w:lineRule="exact"/>
        <w:ind w:firstLine="420" w:firstLineChars="200"/>
        <w:jc w:val="left"/>
        <w:rPr>
          <w:rFonts w:ascii="仿宋" w:hAnsi="仿宋" w:eastAsia="仿宋"/>
          <w:bCs/>
          <w:color w:val="000000"/>
          <w:sz w:val="32"/>
          <w:szCs w:val="32"/>
        </w:rPr>
      </w:pPr>
      <w:r>
        <w:rPr>
          <w:rFonts w:hint="eastAsia" w:ascii="宋体" w:hAnsi="宋体"/>
          <w:color w:val="000000"/>
          <w:kern w:val="0"/>
          <w:szCs w:val="21"/>
        </w:rPr>
        <w:t>（4）投标截止时间与开标时间是否有变化，请关注本次招标过程中发布的变更公告或澄清修改文件中的相关信息</w:t>
      </w:r>
      <w:r>
        <w:rPr>
          <w:rFonts w:hint="eastAsia" w:ascii="仿宋" w:hAnsi="仿宋" w:eastAsia="仿宋"/>
          <w:bCs/>
          <w:color w:val="000000"/>
          <w:sz w:val="32"/>
          <w:szCs w:val="32"/>
        </w:rPr>
        <w:t>。</w:t>
      </w:r>
    </w:p>
    <w:p>
      <w:pPr>
        <w:widowControl/>
        <w:spacing w:line="460" w:lineRule="exact"/>
        <w:ind w:firstLine="422" w:firstLineChars="200"/>
        <w:jc w:val="left"/>
        <w:rPr>
          <w:rFonts w:ascii="宋体" w:hAnsi="宋体"/>
          <w:b/>
          <w:color w:val="000000"/>
          <w:kern w:val="0"/>
          <w:szCs w:val="21"/>
        </w:rPr>
      </w:pPr>
      <w:r>
        <w:rPr>
          <w:rFonts w:hint="eastAsia" w:ascii="宋体" w:hAnsi="宋体"/>
          <w:b/>
          <w:color w:val="000000"/>
          <w:kern w:val="0"/>
          <w:szCs w:val="21"/>
        </w:rPr>
        <w:t>6.开标</w:t>
      </w:r>
    </w:p>
    <w:p>
      <w:pPr>
        <w:widowControl/>
        <w:spacing w:line="460" w:lineRule="exact"/>
        <w:ind w:firstLine="420" w:firstLineChars="200"/>
        <w:jc w:val="left"/>
        <w:rPr>
          <w:rFonts w:ascii="宋体" w:hAnsi="宋体"/>
          <w:color w:val="000000"/>
          <w:kern w:val="0"/>
          <w:szCs w:val="21"/>
        </w:rPr>
      </w:pPr>
      <w:r>
        <w:rPr>
          <w:rFonts w:hint="eastAsia" w:ascii="宋体" w:hAnsi="宋体"/>
          <w:color w:val="000000"/>
          <w:kern w:val="0"/>
          <w:szCs w:val="21"/>
        </w:rPr>
        <w:t>本采购项目开标会将于投标截止的同一时间在宜昌城市投资控股集团（宜昌市伍家岗区沿江大道189号） 8楼评标室  进行。投标人的法定代表人或委托代理人应携身份证明文件（法定代表人身份证明或法人授权委托书）和第二代有效身份证原件准时参加开标会，否则由评标委员会按招标文件规定处理。</w:t>
      </w:r>
    </w:p>
    <w:p>
      <w:pPr>
        <w:widowControl/>
        <w:spacing w:line="460" w:lineRule="exact"/>
        <w:ind w:firstLine="422" w:firstLineChars="200"/>
        <w:jc w:val="left"/>
        <w:rPr>
          <w:rFonts w:ascii="宋体" w:hAnsi="宋体"/>
          <w:color w:val="000000"/>
          <w:kern w:val="0"/>
          <w:szCs w:val="21"/>
        </w:rPr>
      </w:pPr>
      <w:r>
        <w:rPr>
          <w:rFonts w:hint="eastAsia" w:ascii="宋体" w:hAnsi="宋体"/>
          <w:b/>
          <w:color w:val="000000"/>
          <w:kern w:val="0"/>
          <w:szCs w:val="21"/>
        </w:rPr>
        <w:t>7.</w:t>
      </w:r>
      <w:r>
        <w:rPr>
          <w:rFonts w:hint="eastAsia"/>
          <w:b/>
          <w:color w:val="000000"/>
        </w:rPr>
        <w:t>施</w:t>
      </w:r>
      <w:r>
        <w:rPr>
          <w:rFonts w:hint="eastAsia" w:ascii="宋体" w:hAnsi="宋体"/>
          <w:b/>
          <w:color w:val="000000"/>
          <w:kern w:val="0"/>
          <w:szCs w:val="21"/>
        </w:rPr>
        <w:t>工合同</w:t>
      </w:r>
      <w:r>
        <w:rPr>
          <w:rFonts w:hint="eastAsia" w:ascii="宋体" w:hAnsi="宋体"/>
          <w:color w:val="000000"/>
          <w:kern w:val="0"/>
          <w:szCs w:val="21"/>
        </w:rPr>
        <w:t>须由中标人的法定代表人或其授权委托代理人（必须有法定代表人授权委托书）洽谈并签署，否则视为放弃中标项目。</w:t>
      </w:r>
    </w:p>
    <w:p>
      <w:pPr>
        <w:widowControl/>
        <w:spacing w:line="460" w:lineRule="exact"/>
        <w:ind w:firstLine="422" w:firstLineChars="200"/>
        <w:jc w:val="left"/>
        <w:rPr>
          <w:rFonts w:ascii="宋体" w:hAnsi="宋体"/>
          <w:b/>
          <w:color w:val="000000"/>
          <w:kern w:val="0"/>
          <w:szCs w:val="21"/>
        </w:rPr>
      </w:pPr>
      <w:r>
        <w:rPr>
          <w:rFonts w:hint="eastAsia" w:ascii="宋体" w:hAnsi="宋体"/>
          <w:b/>
          <w:color w:val="000000"/>
          <w:kern w:val="0"/>
          <w:szCs w:val="21"/>
        </w:rPr>
        <w:t>8.联系方式：</w:t>
      </w:r>
    </w:p>
    <w:p>
      <w:pPr>
        <w:spacing w:line="400" w:lineRule="exact"/>
        <w:rPr>
          <w:color w:val="000000"/>
        </w:rPr>
      </w:pPr>
      <w:r>
        <w:rPr>
          <w:rFonts w:hint="eastAsia"/>
          <w:color w:val="000000"/>
        </w:rPr>
        <w:t>采购人: 宜昌白洋港集装箱有限公司</w:t>
      </w:r>
    </w:p>
    <w:p>
      <w:pPr>
        <w:spacing w:line="400" w:lineRule="exact"/>
        <w:rPr>
          <w:color w:val="000000"/>
        </w:rPr>
      </w:pPr>
      <w:r>
        <w:rPr>
          <w:rFonts w:hint="eastAsia"/>
          <w:color w:val="000000"/>
        </w:rPr>
        <w:t>联系人: 许经理</w:t>
      </w:r>
    </w:p>
    <w:p>
      <w:pPr>
        <w:spacing w:line="400" w:lineRule="exact"/>
        <w:rPr>
          <w:color w:val="000000"/>
        </w:rPr>
      </w:pPr>
      <w:r>
        <w:rPr>
          <w:rFonts w:hint="eastAsia"/>
          <w:color w:val="000000"/>
        </w:rPr>
        <w:t>联系电话: 15897517588</w:t>
      </w:r>
    </w:p>
    <w:p>
      <w:pPr>
        <w:spacing w:line="400" w:lineRule="exact"/>
        <w:rPr>
          <w:color w:val="000000"/>
        </w:rPr>
      </w:pPr>
      <w:r>
        <w:rPr>
          <w:rFonts w:hint="eastAsia"/>
          <w:color w:val="000000"/>
        </w:rPr>
        <w:t>联系地址：宜昌市伍家岗东艳路41号宜昌交投大厦</w:t>
      </w:r>
    </w:p>
    <w:p>
      <w:pPr>
        <w:spacing w:line="400" w:lineRule="exact"/>
        <w:rPr>
          <w:color w:val="000000"/>
        </w:rPr>
      </w:pPr>
      <w:r>
        <w:rPr>
          <w:rFonts w:hint="eastAsia"/>
          <w:color w:val="000000"/>
        </w:rPr>
        <w:t>采购代理机构：中达安股份有限公司</w:t>
      </w:r>
    </w:p>
    <w:p>
      <w:pPr>
        <w:spacing w:line="400" w:lineRule="exact"/>
        <w:rPr>
          <w:color w:val="000000"/>
        </w:rPr>
      </w:pPr>
      <w:r>
        <w:rPr>
          <w:rFonts w:hint="eastAsia"/>
          <w:color w:val="000000"/>
        </w:rPr>
        <w:t>联系人：魏筝筝</w:t>
      </w:r>
    </w:p>
    <w:p>
      <w:pPr>
        <w:spacing w:line="400" w:lineRule="exact"/>
        <w:rPr>
          <w:color w:val="000000"/>
        </w:rPr>
      </w:pPr>
      <w:r>
        <w:rPr>
          <w:rFonts w:hint="eastAsia"/>
          <w:color w:val="000000"/>
        </w:rPr>
        <w:t>联系电话： 13508604206</w:t>
      </w:r>
    </w:p>
    <w:p>
      <w:pPr>
        <w:spacing w:line="400" w:lineRule="exact"/>
        <w:rPr>
          <w:color w:val="000000"/>
        </w:rPr>
      </w:pPr>
      <w:r>
        <w:rPr>
          <w:rFonts w:hint="eastAsia"/>
          <w:color w:val="000000"/>
        </w:rPr>
        <w:t>联系地址：宜昌市体育场路21号鹏飞洗车三楼</w:t>
      </w:r>
    </w:p>
    <w:p>
      <w:pPr>
        <w:widowControl/>
        <w:spacing w:line="460" w:lineRule="exact"/>
        <w:jc w:val="left"/>
        <w:rPr>
          <w:color w:val="000000"/>
        </w:rPr>
      </w:pPr>
    </w:p>
    <w:p>
      <w:pPr>
        <w:widowControl/>
        <w:spacing w:line="460" w:lineRule="exact"/>
        <w:jc w:val="left"/>
        <w:rPr>
          <w:color w:val="000000"/>
        </w:rPr>
      </w:pPr>
    </w:p>
    <w:p>
      <w:pPr>
        <w:widowControl/>
        <w:spacing w:line="460" w:lineRule="exact"/>
        <w:jc w:val="left"/>
        <w:rPr>
          <w:color w:val="000000"/>
        </w:rPr>
      </w:pPr>
    </w:p>
    <w:p>
      <w:pPr>
        <w:widowControl/>
        <w:spacing w:line="460" w:lineRule="exact"/>
        <w:jc w:val="left"/>
        <w:rPr>
          <w:color w:val="000000"/>
        </w:rPr>
      </w:pPr>
      <w:r>
        <w:rPr>
          <w:rFonts w:hint="eastAsia"/>
          <w:color w:val="000000"/>
        </w:rPr>
        <w:t xml:space="preserve">                                                  </w:t>
      </w:r>
    </w:p>
    <w:p>
      <w:pPr>
        <w:pStyle w:val="2"/>
        <w:pageBreakBefore/>
        <w:rPr>
          <w:color w:val="000000"/>
        </w:rPr>
      </w:pPr>
      <w:bookmarkStart w:id="4" w:name="_Toc18672556"/>
      <w:r>
        <w:rPr>
          <w:rFonts w:hint="eastAsia"/>
          <w:color w:val="000000"/>
        </w:rPr>
        <w:t>第二章  投标人须知</w:t>
      </w:r>
      <w:bookmarkEnd w:id="3"/>
      <w:bookmarkEnd w:id="4"/>
    </w:p>
    <w:p>
      <w:pPr>
        <w:pStyle w:val="3"/>
        <w:ind w:firstLine="420"/>
      </w:pPr>
      <w:bookmarkStart w:id="5" w:name="_Toc459297211"/>
      <w:bookmarkStart w:id="6" w:name="_Toc459226621"/>
      <w:bookmarkStart w:id="7" w:name="_Toc5974897"/>
      <w:bookmarkStart w:id="8" w:name="_Toc459223845"/>
      <w:bookmarkStart w:id="9" w:name="_Toc519361979"/>
      <w:bookmarkStart w:id="10" w:name="_Toc459227604"/>
      <w:bookmarkStart w:id="11" w:name="_Toc459227371"/>
      <w:bookmarkStart w:id="12" w:name="_Toc18672557"/>
      <w:bookmarkStart w:id="13" w:name="_Toc522293505"/>
      <w:r>
        <w:rPr>
          <w:rFonts w:hint="eastAsia"/>
        </w:rPr>
        <w:t>投标人须知前附表</w:t>
      </w:r>
      <w:bookmarkEnd w:id="5"/>
      <w:bookmarkEnd w:id="6"/>
      <w:bookmarkEnd w:id="7"/>
      <w:bookmarkEnd w:id="8"/>
      <w:bookmarkEnd w:id="9"/>
      <w:bookmarkEnd w:id="10"/>
      <w:bookmarkEnd w:id="11"/>
      <w:bookmarkEnd w:id="12"/>
    </w:p>
    <w:p>
      <w:pPr>
        <w:adjustRightInd w:val="0"/>
        <w:snapToGrid w:val="0"/>
        <w:spacing w:before="156" w:beforeLines="50" w:line="360" w:lineRule="auto"/>
        <w:ind w:right="31" w:rightChars="15"/>
        <w:rPr>
          <w:rFonts w:ascii="宋体" w:hAnsi="宋体"/>
          <w:sz w:val="24"/>
          <w:szCs w:val="24"/>
        </w:rPr>
      </w:pPr>
      <w:r>
        <w:rPr>
          <w:rFonts w:hint="eastAsia" w:ascii="宋体" w:hAnsi="宋体"/>
          <w:b/>
          <w:sz w:val="24"/>
          <w:szCs w:val="24"/>
        </w:rPr>
        <w:t>注：</w:t>
      </w:r>
      <w:r>
        <w:rPr>
          <w:rFonts w:ascii="宋体" w:hAnsi="宋体"/>
          <w:b/>
          <w:sz w:val="24"/>
          <w:szCs w:val="24"/>
        </w:rPr>
        <w:t xml:space="preserve"> </w:t>
      </w:r>
      <w:r>
        <w:rPr>
          <w:rFonts w:hint="eastAsia" w:ascii="宋体" w:hAnsi="宋体"/>
          <w:b/>
          <w:sz w:val="24"/>
          <w:szCs w:val="24"/>
        </w:rPr>
        <w:t>请在方框□内划√选择。</w:t>
      </w:r>
    </w:p>
    <w:tbl>
      <w:tblPr>
        <w:tblStyle w:val="13"/>
        <w:tblW w:w="9696" w:type="dxa"/>
        <w:jc w:val="center"/>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26"/>
        <w:gridCol w:w="2149"/>
        <w:gridCol w:w="652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67" w:hRule="atLeast"/>
          <w:jc w:val="center"/>
        </w:trPr>
        <w:tc>
          <w:tcPr>
            <w:tcW w:w="1026" w:type="dxa"/>
            <w:vAlign w:val="center"/>
          </w:tcPr>
          <w:p>
            <w:pPr>
              <w:adjustRightInd w:val="0"/>
              <w:snapToGrid w:val="0"/>
              <w:jc w:val="center"/>
              <w:rPr>
                <w:rFonts w:ascii="宋体" w:hAnsi="宋体"/>
                <w:b/>
                <w:sz w:val="24"/>
                <w:szCs w:val="24"/>
              </w:rPr>
            </w:pPr>
            <w:r>
              <w:rPr>
                <w:rFonts w:hint="eastAsia" w:ascii="宋体" w:hAnsi="宋体"/>
                <w:b/>
                <w:sz w:val="24"/>
                <w:szCs w:val="24"/>
              </w:rPr>
              <w:t>序列号</w:t>
            </w:r>
          </w:p>
        </w:tc>
        <w:tc>
          <w:tcPr>
            <w:tcW w:w="2149" w:type="dxa"/>
            <w:vAlign w:val="center"/>
          </w:tcPr>
          <w:p>
            <w:pPr>
              <w:adjustRightInd w:val="0"/>
              <w:snapToGrid w:val="0"/>
              <w:jc w:val="center"/>
              <w:rPr>
                <w:rFonts w:ascii="宋体" w:hAnsi="宋体"/>
                <w:b/>
                <w:sz w:val="24"/>
                <w:szCs w:val="24"/>
              </w:rPr>
            </w:pPr>
            <w:r>
              <w:rPr>
                <w:rFonts w:hint="eastAsia" w:ascii="宋体" w:hAnsi="宋体"/>
                <w:b/>
                <w:sz w:val="24"/>
                <w:szCs w:val="24"/>
              </w:rPr>
              <w:t>条款名称</w:t>
            </w:r>
          </w:p>
        </w:tc>
        <w:tc>
          <w:tcPr>
            <w:tcW w:w="6521" w:type="dxa"/>
            <w:vAlign w:val="center"/>
          </w:tcPr>
          <w:p>
            <w:pPr>
              <w:adjustRightInd w:val="0"/>
              <w:snapToGrid w:val="0"/>
              <w:jc w:val="center"/>
              <w:rPr>
                <w:rFonts w:ascii="宋体" w:hAnsi="宋体"/>
                <w:b/>
                <w:sz w:val="24"/>
                <w:szCs w:val="24"/>
              </w:rPr>
            </w:pPr>
            <w:r>
              <w:rPr>
                <w:rFonts w:hint="eastAsia" w:ascii="宋体" w:hAnsi="宋体"/>
                <w:b/>
                <w:sz w:val="24"/>
                <w:szCs w:val="24"/>
              </w:rPr>
              <w:t>编列内容规定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67" w:hRule="atLeast"/>
          <w:jc w:val="center"/>
        </w:trPr>
        <w:tc>
          <w:tcPr>
            <w:tcW w:w="1026" w:type="dxa"/>
            <w:vAlign w:val="center"/>
          </w:tcPr>
          <w:p>
            <w:pPr>
              <w:adjustRightInd w:val="0"/>
              <w:snapToGrid w:val="0"/>
              <w:jc w:val="center"/>
              <w:rPr>
                <w:rFonts w:ascii="宋体" w:hAnsi="宋体"/>
                <w:szCs w:val="21"/>
              </w:rPr>
            </w:pPr>
            <w:r>
              <w:rPr>
                <w:rFonts w:ascii="宋体" w:hAnsi="宋体"/>
                <w:szCs w:val="21"/>
              </w:rPr>
              <w:t>1</w:t>
            </w:r>
          </w:p>
        </w:tc>
        <w:tc>
          <w:tcPr>
            <w:tcW w:w="2149" w:type="dxa"/>
            <w:vAlign w:val="center"/>
          </w:tcPr>
          <w:p>
            <w:pPr>
              <w:adjustRightInd w:val="0"/>
              <w:snapToGrid w:val="0"/>
              <w:jc w:val="center"/>
              <w:rPr>
                <w:rFonts w:ascii="宋体" w:hAnsi="宋体"/>
                <w:szCs w:val="21"/>
              </w:rPr>
            </w:pPr>
            <w:r>
              <w:rPr>
                <w:rFonts w:hint="eastAsia" w:ascii="宋体" w:hAnsi="宋体"/>
                <w:szCs w:val="21"/>
              </w:rPr>
              <w:t>项目名称</w:t>
            </w:r>
          </w:p>
        </w:tc>
        <w:tc>
          <w:tcPr>
            <w:tcW w:w="6521" w:type="dxa"/>
            <w:vAlign w:val="center"/>
          </w:tcPr>
          <w:p>
            <w:pPr>
              <w:adjustRightInd w:val="0"/>
              <w:snapToGrid w:val="0"/>
              <w:rPr>
                <w:rFonts w:ascii="宋体" w:hAnsi="宋体"/>
                <w:szCs w:val="21"/>
              </w:rPr>
            </w:pPr>
            <w:r>
              <w:rPr>
                <w:rFonts w:hint="eastAsia" w:ascii="宋体" w:hAnsi="宋体" w:cs="宋体"/>
                <w:szCs w:val="21"/>
              </w:rPr>
              <w:t>宜昌白洋港区东西大门智能闸口改造项目</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573" w:hRule="atLeast"/>
          <w:jc w:val="center"/>
        </w:trPr>
        <w:tc>
          <w:tcPr>
            <w:tcW w:w="1026" w:type="dxa"/>
            <w:vAlign w:val="center"/>
          </w:tcPr>
          <w:p>
            <w:pPr>
              <w:adjustRightInd w:val="0"/>
              <w:snapToGrid w:val="0"/>
              <w:jc w:val="center"/>
              <w:rPr>
                <w:rFonts w:ascii="宋体" w:hAnsi="宋体"/>
                <w:szCs w:val="21"/>
              </w:rPr>
            </w:pPr>
            <w:r>
              <w:rPr>
                <w:rFonts w:ascii="宋体" w:hAnsi="宋体"/>
                <w:szCs w:val="21"/>
              </w:rPr>
              <w:t>2</w:t>
            </w:r>
          </w:p>
        </w:tc>
        <w:tc>
          <w:tcPr>
            <w:tcW w:w="2149" w:type="dxa"/>
            <w:vAlign w:val="center"/>
          </w:tcPr>
          <w:p>
            <w:pPr>
              <w:adjustRightInd w:val="0"/>
              <w:snapToGrid w:val="0"/>
              <w:jc w:val="center"/>
              <w:rPr>
                <w:rFonts w:ascii="宋体" w:hAnsi="宋体"/>
                <w:szCs w:val="21"/>
              </w:rPr>
            </w:pPr>
            <w:r>
              <w:rPr>
                <w:rFonts w:hint="eastAsia" w:ascii="宋体" w:hAnsi="宋体"/>
                <w:szCs w:val="21"/>
              </w:rPr>
              <w:t>采购人</w:t>
            </w:r>
          </w:p>
        </w:tc>
        <w:tc>
          <w:tcPr>
            <w:tcW w:w="6521" w:type="dxa"/>
            <w:vAlign w:val="center"/>
          </w:tcPr>
          <w:p>
            <w:pPr>
              <w:adjustRightInd w:val="0"/>
              <w:snapToGrid w:val="0"/>
              <w:rPr>
                <w:rFonts w:ascii="宋体" w:hAnsi="宋体"/>
                <w:szCs w:val="21"/>
              </w:rPr>
            </w:pPr>
            <w:r>
              <w:rPr>
                <w:rFonts w:hint="eastAsia" w:ascii="宋体" w:hAnsi="宋体"/>
                <w:szCs w:val="21"/>
              </w:rPr>
              <w:t>名</w:t>
            </w:r>
            <w:r>
              <w:rPr>
                <w:rFonts w:ascii="宋体" w:hAnsi="宋体"/>
                <w:szCs w:val="21"/>
              </w:rPr>
              <w:t xml:space="preserve">  </w:t>
            </w:r>
            <w:r>
              <w:rPr>
                <w:rFonts w:hint="eastAsia" w:ascii="宋体" w:hAnsi="宋体"/>
                <w:szCs w:val="21"/>
              </w:rPr>
              <w:t>称：宜昌白洋港集装箱有限公司</w:t>
            </w:r>
          </w:p>
          <w:p>
            <w:pPr>
              <w:adjustRightInd w:val="0"/>
              <w:snapToGrid w:val="0"/>
              <w:rPr>
                <w:rFonts w:ascii="宋体" w:hAnsi="宋体" w:cs="宋体"/>
                <w:szCs w:val="21"/>
                <w:lang w:val="zh-CN"/>
              </w:rPr>
            </w:pPr>
            <w:r>
              <w:rPr>
                <w:rFonts w:hint="eastAsia" w:ascii="宋体" w:hAnsi="宋体"/>
                <w:szCs w:val="21"/>
              </w:rPr>
              <w:t>地</w:t>
            </w:r>
            <w:r>
              <w:rPr>
                <w:rFonts w:ascii="宋体" w:hAnsi="宋体"/>
                <w:szCs w:val="21"/>
              </w:rPr>
              <w:t xml:space="preserve">  </w:t>
            </w:r>
            <w:r>
              <w:rPr>
                <w:rFonts w:hint="eastAsia" w:ascii="宋体" w:hAnsi="宋体"/>
                <w:szCs w:val="21"/>
              </w:rPr>
              <w:t>址：</w:t>
            </w:r>
            <w:r>
              <w:rPr>
                <w:rFonts w:hint="eastAsia" w:ascii="宋体" w:hAnsi="宋体" w:cs="宋体"/>
                <w:szCs w:val="21"/>
                <w:lang w:val="zh-CN"/>
              </w:rPr>
              <w:t>宜昌市伍家岗东艳路41号宜昌交投大厦</w:t>
            </w:r>
          </w:p>
          <w:p>
            <w:pPr>
              <w:adjustRightInd w:val="0"/>
              <w:snapToGrid w:val="0"/>
              <w:rPr>
                <w:rFonts w:ascii="宋体" w:hAnsi="宋体"/>
                <w:szCs w:val="21"/>
              </w:rPr>
            </w:pPr>
            <w:r>
              <w:rPr>
                <w:rFonts w:hint="eastAsia" w:ascii="宋体" w:hAnsi="宋体"/>
                <w:szCs w:val="21"/>
              </w:rPr>
              <w:t>电</w:t>
            </w:r>
            <w:r>
              <w:rPr>
                <w:rFonts w:ascii="宋体" w:hAnsi="宋体"/>
                <w:szCs w:val="21"/>
              </w:rPr>
              <w:t xml:space="preserve">  </w:t>
            </w:r>
            <w:r>
              <w:rPr>
                <w:rFonts w:hint="eastAsia" w:ascii="宋体" w:hAnsi="宋体"/>
                <w:szCs w:val="21"/>
              </w:rPr>
              <w:t>话：</w:t>
            </w:r>
            <w:r>
              <w:rPr>
                <w:rFonts w:ascii="宋体" w:hAnsi="宋体" w:cs="宋体"/>
                <w:szCs w:val="21"/>
                <w:lang w:val="zh-CN"/>
              </w:rPr>
              <w:t>15897517588</w:t>
            </w:r>
          </w:p>
          <w:p>
            <w:pPr>
              <w:adjustRightInd w:val="0"/>
              <w:snapToGrid w:val="0"/>
              <w:rPr>
                <w:rFonts w:ascii="宋体" w:hAnsi="宋体"/>
                <w:szCs w:val="21"/>
              </w:rPr>
            </w:pPr>
            <w:r>
              <w:rPr>
                <w:rFonts w:hint="eastAsia" w:ascii="宋体" w:hAnsi="宋体"/>
                <w:szCs w:val="21"/>
              </w:rPr>
              <w:t>联系人：</w:t>
            </w:r>
            <w:r>
              <w:rPr>
                <w:rFonts w:hint="eastAsia" w:ascii="宋体" w:hAnsi="宋体" w:cs="宋体"/>
                <w:szCs w:val="21"/>
                <w:lang w:val="zh-CN"/>
              </w:rPr>
              <w:t>许经理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398" w:hRule="atLeast"/>
          <w:jc w:val="center"/>
        </w:trPr>
        <w:tc>
          <w:tcPr>
            <w:tcW w:w="1026" w:type="dxa"/>
            <w:vAlign w:val="center"/>
          </w:tcPr>
          <w:p>
            <w:pPr>
              <w:adjustRightInd w:val="0"/>
              <w:snapToGrid w:val="0"/>
              <w:jc w:val="center"/>
              <w:rPr>
                <w:rFonts w:ascii="宋体" w:hAnsi="宋体"/>
                <w:szCs w:val="21"/>
              </w:rPr>
            </w:pPr>
            <w:r>
              <w:rPr>
                <w:rFonts w:ascii="宋体" w:hAnsi="宋体"/>
                <w:szCs w:val="21"/>
              </w:rPr>
              <w:t>3</w:t>
            </w:r>
          </w:p>
        </w:tc>
        <w:tc>
          <w:tcPr>
            <w:tcW w:w="2149" w:type="dxa"/>
            <w:vAlign w:val="center"/>
          </w:tcPr>
          <w:p>
            <w:pPr>
              <w:adjustRightInd w:val="0"/>
              <w:snapToGrid w:val="0"/>
              <w:jc w:val="center"/>
              <w:rPr>
                <w:rFonts w:ascii="宋体" w:hAnsi="宋体"/>
                <w:szCs w:val="21"/>
              </w:rPr>
            </w:pPr>
            <w:r>
              <w:rPr>
                <w:rFonts w:hint="eastAsia" w:ascii="宋体" w:hAnsi="宋体"/>
                <w:szCs w:val="21"/>
              </w:rPr>
              <w:t>采购代理机构</w:t>
            </w:r>
          </w:p>
        </w:tc>
        <w:tc>
          <w:tcPr>
            <w:tcW w:w="6521" w:type="dxa"/>
            <w:vAlign w:val="center"/>
          </w:tcPr>
          <w:p>
            <w:pPr>
              <w:adjustRightInd w:val="0"/>
              <w:snapToGrid w:val="0"/>
              <w:rPr>
                <w:rFonts w:ascii="宋体" w:hAnsi="宋体"/>
                <w:szCs w:val="21"/>
              </w:rPr>
            </w:pPr>
            <w:r>
              <w:rPr>
                <w:rFonts w:hint="eastAsia" w:ascii="宋体" w:hAnsi="宋体"/>
                <w:szCs w:val="21"/>
              </w:rPr>
              <w:t>名</w:t>
            </w:r>
            <w:r>
              <w:rPr>
                <w:rFonts w:ascii="宋体" w:hAnsi="宋体"/>
                <w:szCs w:val="21"/>
              </w:rPr>
              <w:t xml:space="preserve">  </w:t>
            </w:r>
            <w:r>
              <w:rPr>
                <w:rFonts w:hint="eastAsia" w:ascii="宋体" w:hAnsi="宋体"/>
                <w:szCs w:val="21"/>
              </w:rPr>
              <w:t>称：中达安股份有限公司</w:t>
            </w:r>
          </w:p>
          <w:p>
            <w:pPr>
              <w:adjustRightInd w:val="0"/>
              <w:snapToGrid w:val="0"/>
              <w:rPr>
                <w:rFonts w:ascii="宋体" w:hAnsi="宋体"/>
                <w:szCs w:val="21"/>
              </w:rPr>
            </w:pPr>
            <w:r>
              <w:rPr>
                <w:rFonts w:hint="eastAsia" w:ascii="宋体" w:hAnsi="宋体"/>
                <w:szCs w:val="21"/>
              </w:rPr>
              <w:t>地</w:t>
            </w:r>
            <w:r>
              <w:rPr>
                <w:rFonts w:ascii="宋体" w:hAnsi="宋体"/>
                <w:szCs w:val="21"/>
              </w:rPr>
              <w:t xml:space="preserve">  </w:t>
            </w:r>
            <w:r>
              <w:rPr>
                <w:rFonts w:hint="eastAsia" w:ascii="宋体" w:hAnsi="宋体"/>
                <w:szCs w:val="21"/>
              </w:rPr>
              <w:t>址：</w:t>
            </w:r>
            <w:r>
              <w:rPr>
                <w:rFonts w:hint="eastAsia"/>
                <w:color w:val="000000"/>
              </w:rPr>
              <w:t>宜昌市体育场路21号鹏飞洗车三楼</w:t>
            </w:r>
          </w:p>
          <w:p>
            <w:pPr>
              <w:adjustRightInd w:val="0"/>
              <w:snapToGrid w:val="0"/>
              <w:rPr>
                <w:rFonts w:ascii="宋体" w:hAnsi="宋体"/>
                <w:szCs w:val="21"/>
              </w:rPr>
            </w:pPr>
            <w:r>
              <w:rPr>
                <w:rFonts w:hint="eastAsia" w:ascii="宋体" w:hAnsi="宋体"/>
                <w:szCs w:val="21"/>
              </w:rPr>
              <w:t>电</w:t>
            </w:r>
            <w:r>
              <w:rPr>
                <w:rFonts w:ascii="宋体" w:hAnsi="宋体"/>
                <w:szCs w:val="21"/>
              </w:rPr>
              <w:t xml:space="preserve">  </w:t>
            </w:r>
            <w:r>
              <w:rPr>
                <w:rFonts w:hint="eastAsia" w:ascii="宋体" w:hAnsi="宋体"/>
                <w:szCs w:val="21"/>
              </w:rPr>
              <w:t xml:space="preserve">话： </w:t>
            </w:r>
            <w:r>
              <w:rPr>
                <w:rFonts w:hint="eastAsia" w:ascii="Calibri" w:hAnsi="Calibri"/>
                <w:color w:val="000000"/>
              </w:rPr>
              <w:t>13508604206</w:t>
            </w:r>
          </w:p>
          <w:p>
            <w:pPr>
              <w:adjustRightInd w:val="0"/>
              <w:snapToGrid w:val="0"/>
              <w:rPr>
                <w:rFonts w:ascii="宋体" w:hAnsi="宋体"/>
                <w:szCs w:val="21"/>
              </w:rPr>
            </w:pPr>
            <w:r>
              <w:rPr>
                <w:rFonts w:hint="eastAsia" w:ascii="宋体" w:hAnsi="宋体"/>
                <w:szCs w:val="21"/>
              </w:rPr>
              <w:t>联系人</w:t>
            </w:r>
            <w:r>
              <w:rPr>
                <w:rFonts w:hint="eastAsia" w:ascii="宋体" w:hAnsi="宋体"/>
                <w:color w:val="FF0000"/>
                <w:szCs w:val="21"/>
              </w:rPr>
              <w:t>：</w:t>
            </w:r>
            <w:r>
              <w:rPr>
                <w:rFonts w:hint="eastAsia" w:ascii="宋体" w:hAnsi="宋体"/>
                <w:szCs w:val="21"/>
              </w:rPr>
              <w:t>魏筝筝</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25" w:hRule="atLeast"/>
          <w:jc w:val="center"/>
        </w:trPr>
        <w:tc>
          <w:tcPr>
            <w:tcW w:w="1026" w:type="dxa"/>
            <w:vAlign w:val="center"/>
          </w:tcPr>
          <w:p>
            <w:pPr>
              <w:adjustRightInd w:val="0"/>
              <w:snapToGrid w:val="0"/>
              <w:jc w:val="center"/>
              <w:rPr>
                <w:rFonts w:ascii="宋体" w:hAnsi="宋体"/>
                <w:szCs w:val="21"/>
              </w:rPr>
            </w:pPr>
            <w:r>
              <w:rPr>
                <w:rFonts w:ascii="宋体" w:hAnsi="宋体"/>
                <w:szCs w:val="21"/>
              </w:rPr>
              <w:t>4</w:t>
            </w:r>
          </w:p>
        </w:tc>
        <w:tc>
          <w:tcPr>
            <w:tcW w:w="2149" w:type="dxa"/>
            <w:vAlign w:val="center"/>
          </w:tcPr>
          <w:p>
            <w:pPr>
              <w:adjustRightInd w:val="0"/>
              <w:snapToGrid w:val="0"/>
              <w:jc w:val="center"/>
              <w:rPr>
                <w:rFonts w:ascii="宋体" w:hAnsi="宋体"/>
                <w:szCs w:val="21"/>
              </w:rPr>
            </w:pPr>
            <w:r>
              <w:rPr>
                <w:rFonts w:hint="eastAsia" w:ascii="宋体" w:hAnsi="宋体"/>
                <w:szCs w:val="21"/>
              </w:rPr>
              <w:t>监管部门</w:t>
            </w:r>
          </w:p>
        </w:tc>
        <w:tc>
          <w:tcPr>
            <w:tcW w:w="6521" w:type="dxa"/>
            <w:vAlign w:val="center"/>
          </w:tcPr>
          <w:p>
            <w:pPr>
              <w:adjustRightInd w:val="0"/>
              <w:snapToGrid w:val="0"/>
              <w:rPr>
                <w:rFonts w:ascii="宋体" w:hAnsi="宋体"/>
                <w:szCs w:val="21"/>
              </w:rPr>
            </w:pPr>
            <w:r>
              <w:rPr>
                <w:rFonts w:hint="eastAsia" w:ascii="宋体" w:hAnsi="宋体"/>
                <w:szCs w:val="21"/>
              </w:rPr>
              <w:t>宜昌市交通投资有限公司纪委监察室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37" w:hRule="atLeast"/>
          <w:jc w:val="center"/>
        </w:trPr>
        <w:tc>
          <w:tcPr>
            <w:tcW w:w="1026" w:type="dxa"/>
            <w:vAlign w:val="center"/>
          </w:tcPr>
          <w:p>
            <w:pPr>
              <w:adjustRightInd w:val="0"/>
              <w:snapToGrid w:val="0"/>
              <w:jc w:val="center"/>
              <w:rPr>
                <w:rFonts w:ascii="宋体" w:hAnsi="宋体"/>
                <w:szCs w:val="21"/>
              </w:rPr>
            </w:pPr>
            <w:r>
              <w:rPr>
                <w:rFonts w:ascii="宋体" w:hAnsi="宋体"/>
                <w:szCs w:val="21"/>
              </w:rPr>
              <w:t>5</w:t>
            </w:r>
          </w:p>
        </w:tc>
        <w:tc>
          <w:tcPr>
            <w:tcW w:w="2149" w:type="dxa"/>
            <w:vAlign w:val="center"/>
          </w:tcPr>
          <w:p>
            <w:pPr>
              <w:adjustRightInd w:val="0"/>
              <w:snapToGrid w:val="0"/>
              <w:jc w:val="center"/>
              <w:rPr>
                <w:rFonts w:ascii="宋体" w:hAnsi="宋体"/>
                <w:szCs w:val="21"/>
              </w:rPr>
            </w:pPr>
            <w:r>
              <w:rPr>
                <w:rFonts w:hint="eastAsia" w:ascii="宋体" w:hAnsi="宋体"/>
                <w:bCs/>
                <w:szCs w:val="21"/>
              </w:rPr>
              <w:t>投标人</w:t>
            </w:r>
            <w:r>
              <w:rPr>
                <w:rFonts w:hint="eastAsia" w:ascii="宋体" w:hAnsi="宋体"/>
                <w:szCs w:val="21"/>
              </w:rPr>
              <w:t>资格条件</w:t>
            </w:r>
          </w:p>
        </w:tc>
        <w:tc>
          <w:tcPr>
            <w:tcW w:w="6521" w:type="dxa"/>
            <w:vAlign w:val="center"/>
          </w:tcPr>
          <w:p>
            <w:pPr>
              <w:adjustRightInd w:val="0"/>
              <w:snapToGrid w:val="0"/>
              <w:rPr>
                <w:rFonts w:ascii="宋体" w:hAnsi="宋体"/>
                <w:szCs w:val="21"/>
              </w:rPr>
            </w:pPr>
            <w:r>
              <w:rPr>
                <w:rFonts w:hint="eastAsia" w:ascii="宋体" w:hAnsi="宋体"/>
                <w:szCs w:val="21"/>
                <w:lang w:val="zh-CN"/>
              </w:rPr>
              <w:t>满足招标文件第一章 投标邀请“</w:t>
            </w:r>
            <w:r>
              <w:rPr>
                <w:rFonts w:hint="eastAsia" w:ascii="宋体" w:hAnsi="宋体"/>
                <w:szCs w:val="21"/>
              </w:rPr>
              <w:t>3.</w:t>
            </w:r>
            <w:r>
              <w:rPr>
                <w:rFonts w:hint="eastAsia" w:ascii="宋体" w:hAnsi="宋体"/>
                <w:szCs w:val="21"/>
                <w:lang w:val="zh-CN"/>
              </w:rPr>
              <w:t>投标人资格要求”之规定。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67" w:hRule="atLeast"/>
          <w:jc w:val="center"/>
        </w:trPr>
        <w:tc>
          <w:tcPr>
            <w:tcW w:w="1026" w:type="dxa"/>
            <w:vAlign w:val="center"/>
          </w:tcPr>
          <w:p>
            <w:pPr>
              <w:adjustRightInd w:val="0"/>
              <w:snapToGrid w:val="0"/>
              <w:jc w:val="center"/>
              <w:rPr>
                <w:rFonts w:ascii="宋体" w:hAnsi="宋体"/>
                <w:szCs w:val="21"/>
              </w:rPr>
            </w:pPr>
            <w:r>
              <w:rPr>
                <w:rFonts w:hint="eastAsia" w:ascii="宋体" w:hAnsi="宋体"/>
                <w:szCs w:val="21"/>
              </w:rPr>
              <w:t>6</w:t>
            </w:r>
          </w:p>
        </w:tc>
        <w:tc>
          <w:tcPr>
            <w:tcW w:w="2149" w:type="dxa"/>
            <w:vAlign w:val="center"/>
          </w:tcPr>
          <w:p>
            <w:pPr>
              <w:adjustRightInd w:val="0"/>
              <w:snapToGrid w:val="0"/>
              <w:jc w:val="center"/>
              <w:rPr>
                <w:rFonts w:ascii="宋体" w:hAnsi="宋体"/>
                <w:szCs w:val="21"/>
              </w:rPr>
            </w:pPr>
            <w:r>
              <w:rPr>
                <w:rFonts w:hint="eastAsia" w:ascii="宋体" w:hAnsi="宋体"/>
                <w:szCs w:val="21"/>
              </w:rPr>
              <w:t>备选方案</w:t>
            </w:r>
          </w:p>
        </w:tc>
        <w:tc>
          <w:tcPr>
            <w:tcW w:w="6521" w:type="dxa"/>
            <w:vAlign w:val="center"/>
          </w:tcPr>
          <w:p>
            <w:pPr>
              <w:adjustRightInd w:val="0"/>
              <w:snapToGrid w:val="0"/>
              <w:rPr>
                <w:rFonts w:ascii="宋体" w:hAnsi="宋体"/>
                <w:szCs w:val="21"/>
              </w:rPr>
            </w:pPr>
            <w:bookmarkStart w:id="14" w:name="EB9543cf0331074ddaba5e9e3e2093282c"/>
            <w:r>
              <w:rPr>
                <w:rFonts w:hint="eastAsia" w:ascii="MS Gothic" w:hAnsi="MS Gothic" w:eastAsia="MS Gothic" w:cs="MS Gothic"/>
                <w:szCs w:val="21"/>
              </w:rPr>
              <w:t>☑</w:t>
            </w:r>
            <w:r>
              <w:rPr>
                <w:rFonts w:ascii="宋体" w:hAnsi="宋体"/>
                <w:szCs w:val="21"/>
              </w:rPr>
              <w:t xml:space="preserve">不接受 </w:t>
            </w:r>
            <w:bookmarkEnd w:id="14"/>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67" w:hRule="atLeast"/>
          <w:jc w:val="center"/>
        </w:trPr>
        <w:tc>
          <w:tcPr>
            <w:tcW w:w="1026" w:type="dxa"/>
            <w:vAlign w:val="center"/>
          </w:tcPr>
          <w:p>
            <w:pPr>
              <w:adjustRightInd w:val="0"/>
              <w:snapToGrid w:val="0"/>
              <w:jc w:val="center"/>
              <w:rPr>
                <w:rFonts w:ascii="宋体" w:hAnsi="宋体"/>
                <w:szCs w:val="21"/>
              </w:rPr>
            </w:pPr>
            <w:r>
              <w:rPr>
                <w:rFonts w:hint="eastAsia" w:ascii="宋体" w:hAnsi="宋体"/>
                <w:szCs w:val="21"/>
              </w:rPr>
              <w:t>7</w:t>
            </w:r>
          </w:p>
        </w:tc>
        <w:tc>
          <w:tcPr>
            <w:tcW w:w="2149" w:type="dxa"/>
            <w:vAlign w:val="center"/>
          </w:tcPr>
          <w:p>
            <w:pPr>
              <w:adjustRightInd w:val="0"/>
              <w:snapToGrid w:val="0"/>
              <w:jc w:val="center"/>
              <w:rPr>
                <w:rFonts w:ascii="宋体" w:hAnsi="宋体"/>
                <w:szCs w:val="21"/>
              </w:rPr>
            </w:pPr>
            <w:r>
              <w:rPr>
                <w:rFonts w:hint="eastAsia" w:ascii="宋体" w:hAnsi="宋体"/>
                <w:szCs w:val="21"/>
              </w:rPr>
              <w:t>样品提供的规定</w:t>
            </w:r>
          </w:p>
        </w:tc>
        <w:tc>
          <w:tcPr>
            <w:tcW w:w="6521" w:type="dxa"/>
            <w:vAlign w:val="center"/>
          </w:tcPr>
          <w:p>
            <w:pPr>
              <w:adjustRightInd w:val="0"/>
              <w:snapToGrid w:val="0"/>
              <w:rPr>
                <w:rFonts w:ascii="宋体" w:hAnsi="宋体"/>
                <w:szCs w:val="21"/>
              </w:rPr>
            </w:pPr>
            <w:bookmarkStart w:id="15" w:name="EB0e877afdbc444fed9f62d173fb645ac6"/>
            <w:r>
              <w:rPr>
                <w:rFonts w:hint="eastAsia" w:ascii="MS Gothic" w:hAnsi="MS Gothic" w:eastAsia="MS Gothic" w:cs="MS Gothic"/>
                <w:szCs w:val="21"/>
              </w:rPr>
              <w:t>☑</w:t>
            </w:r>
            <w:r>
              <w:rPr>
                <w:rFonts w:ascii="宋体" w:hAnsi="宋体"/>
                <w:szCs w:val="21"/>
              </w:rPr>
              <w:t xml:space="preserve">不要求提供 </w:t>
            </w:r>
            <w:bookmarkEnd w:id="15"/>
            <w:bookmarkStart w:id="16" w:name="EBf690663700554a13a1bd9b712d1c5aba"/>
            <w:r>
              <w:rPr>
                <w:rFonts w:ascii="宋体" w:hAnsi="宋体"/>
                <w:szCs w:val="21"/>
              </w:rPr>
              <w:t xml:space="preserve"> </w:t>
            </w:r>
            <w:bookmarkEnd w:id="16"/>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67" w:hRule="atLeast"/>
          <w:jc w:val="center"/>
        </w:trPr>
        <w:tc>
          <w:tcPr>
            <w:tcW w:w="1026" w:type="dxa"/>
            <w:vAlign w:val="center"/>
          </w:tcPr>
          <w:p>
            <w:pPr>
              <w:adjustRightInd w:val="0"/>
              <w:snapToGrid w:val="0"/>
              <w:jc w:val="center"/>
              <w:rPr>
                <w:rFonts w:ascii="宋体" w:hAnsi="宋体"/>
                <w:szCs w:val="21"/>
              </w:rPr>
            </w:pPr>
            <w:r>
              <w:rPr>
                <w:rFonts w:hint="eastAsia" w:ascii="宋体" w:hAnsi="宋体"/>
                <w:szCs w:val="21"/>
              </w:rPr>
              <w:t>8</w:t>
            </w:r>
          </w:p>
        </w:tc>
        <w:tc>
          <w:tcPr>
            <w:tcW w:w="2149" w:type="dxa"/>
            <w:vAlign w:val="center"/>
          </w:tcPr>
          <w:p>
            <w:pPr>
              <w:adjustRightInd w:val="0"/>
              <w:snapToGrid w:val="0"/>
              <w:jc w:val="center"/>
              <w:rPr>
                <w:rFonts w:ascii="宋体" w:hAnsi="宋体"/>
                <w:szCs w:val="21"/>
              </w:rPr>
            </w:pPr>
            <w:r>
              <w:rPr>
                <w:rFonts w:hint="eastAsia" w:ascii="宋体" w:hAnsi="宋体"/>
                <w:szCs w:val="21"/>
              </w:rPr>
              <w:t>信息公告媒体</w:t>
            </w:r>
          </w:p>
        </w:tc>
        <w:tc>
          <w:tcPr>
            <w:tcW w:w="6521" w:type="dxa"/>
            <w:vAlign w:val="center"/>
          </w:tcPr>
          <w:p>
            <w:pPr>
              <w:adjustRightInd w:val="0"/>
              <w:snapToGrid w:val="0"/>
              <w:rPr>
                <w:rFonts w:ascii="宋体" w:hAnsi="宋体"/>
                <w:szCs w:val="21"/>
              </w:rPr>
            </w:pPr>
            <w:bookmarkStart w:id="17" w:name="EB6445d1f9e5344e36978eeef795783ff5"/>
            <w:bookmarkEnd w:id="17"/>
            <w:r>
              <w:rPr>
                <w:rFonts w:hint="eastAsia" w:ascii="宋体" w:hAnsi="宋体"/>
                <w:szCs w:val="21"/>
              </w:rPr>
              <w:t>《中国招标投标公共服务平台》；《宜昌市交通投资有限公司网》；《中达安股份有限公司网》；《宜昌城建控股集团招标采购平台（http://zbcg.ycjtjt.com）》</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67" w:hRule="atLeast"/>
          <w:jc w:val="center"/>
        </w:trPr>
        <w:tc>
          <w:tcPr>
            <w:tcW w:w="1026" w:type="dxa"/>
            <w:vAlign w:val="center"/>
          </w:tcPr>
          <w:p>
            <w:pPr>
              <w:adjustRightInd w:val="0"/>
              <w:snapToGrid w:val="0"/>
              <w:jc w:val="center"/>
              <w:rPr>
                <w:rFonts w:ascii="宋体" w:hAnsi="宋体"/>
                <w:szCs w:val="21"/>
              </w:rPr>
            </w:pPr>
            <w:r>
              <w:rPr>
                <w:rFonts w:hint="eastAsia" w:ascii="宋体" w:hAnsi="宋体"/>
                <w:szCs w:val="21"/>
              </w:rPr>
              <w:t>9</w:t>
            </w:r>
          </w:p>
        </w:tc>
        <w:tc>
          <w:tcPr>
            <w:tcW w:w="2149" w:type="dxa"/>
            <w:vAlign w:val="center"/>
          </w:tcPr>
          <w:p>
            <w:pPr>
              <w:adjustRightInd w:val="0"/>
              <w:snapToGrid w:val="0"/>
              <w:jc w:val="center"/>
              <w:rPr>
                <w:rFonts w:ascii="宋体" w:hAnsi="宋体"/>
                <w:szCs w:val="21"/>
              </w:rPr>
            </w:pPr>
            <w:r>
              <w:rPr>
                <w:rFonts w:hint="eastAsia" w:ascii="宋体" w:hAnsi="宋体"/>
                <w:szCs w:val="21"/>
              </w:rPr>
              <w:t>提交投标文件截止时间</w:t>
            </w:r>
          </w:p>
        </w:tc>
        <w:tc>
          <w:tcPr>
            <w:tcW w:w="6521" w:type="dxa"/>
            <w:vAlign w:val="center"/>
          </w:tcPr>
          <w:p>
            <w:pPr>
              <w:adjustRightInd w:val="0"/>
              <w:snapToGrid w:val="0"/>
              <w:rPr>
                <w:rFonts w:ascii="宋体" w:hAnsi="宋体"/>
                <w:szCs w:val="21"/>
              </w:rPr>
            </w:pPr>
            <w:bookmarkStart w:id="18" w:name="EB1af93504028c45e089bc53b827b4203a"/>
            <w:bookmarkEnd w:id="18"/>
            <w:r>
              <w:rPr>
                <w:rFonts w:ascii="宋体" w:hAnsi="宋体" w:cs="宋体"/>
                <w:szCs w:val="21"/>
                <w:lang w:val="zh-CN"/>
              </w:rPr>
              <w:t>201</w:t>
            </w:r>
            <w:r>
              <w:rPr>
                <w:rFonts w:hint="eastAsia" w:ascii="宋体" w:hAnsi="宋体" w:cs="宋体"/>
                <w:szCs w:val="21"/>
                <w:lang w:val="zh-CN"/>
              </w:rPr>
              <w:t>9</w:t>
            </w:r>
            <w:r>
              <w:rPr>
                <w:rFonts w:ascii="宋体" w:hAnsi="宋体" w:cs="宋体"/>
                <w:szCs w:val="21"/>
                <w:lang w:val="zh-CN"/>
              </w:rPr>
              <w:t>年</w:t>
            </w:r>
            <w:r>
              <w:rPr>
                <w:rFonts w:hint="eastAsia" w:ascii="宋体" w:hAnsi="宋体" w:cs="宋体"/>
                <w:szCs w:val="21"/>
              </w:rPr>
              <w:t>10</w:t>
            </w:r>
            <w:r>
              <w:rPr>
                <w:rFonts w:hint="eastAsia" w:ascii="宋体" w:hAnsi="宋体" w:cs="宋体"/>
                <w:szCs w:val="21"/>
                <w:lang w:val="zh-CN"/>
              </w:rPr>
              <w:t xml:space="preserve"> </w:t>
            </w:r>
            <w:r>
              <w:rPr>
                <w:rFonts w:ascii="宋体" w:hAnsi="宋体" w:cs="宋体"/>
                <w:szCs w:val="21"/>
                <w:lang w:val="zh-CN"/>
              </w:rPr>
              <w:t>月</w:t>
            </w:r>
            <w:r>
              <w:rPr>
                <w:rFonts w:hint="eastAsia" w:ascii="宋体" w:hAnsi="宋体" w:cs="宋体"/>
                <w:szCs w:val="21"/>
                <w:lang w:val="zh-CN"/>
              </w:rPr>
              <w:t xml:space="preserve"> </w:t>
            </w:r>
            <w:r>
              <w:rPr>
                <w:rFonts w:hint="eastAsia" w:ascii="宋体" w:hAnsi="宋体" w:cs="宋体"/>
                <w:szCs w:val="21"/>
              </w:rPr>
              <w:t>22</w:t>
            </w:r>
            <w:r>
              <w:rPr>
                <w:rFonts w:ascii="宋体" w:hAnsi="宋体" w:cs="宋体"/>
                <w:szCs w:val="21"/>
                <w:lang w:val="zh-CN"/>
              </w:rPr>
              <w:t>日09时30分</w:t>
            </w:r>
            <w:r>
              <w:rPr>
                <w:rFonts w:hint="eastAsia" w:ascii="宋体" w:hAnsi="宋体" w:cs="宋体"/>
                <w:szCs w:val="21"/>
                <w:lang w:val="zh-CN"/>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836" w:hRule="atLeast"/>
          <w:jc w:val="center"/>
        </w:trPr>
        <w:tc>
          <w:tcPr>
            <w:tcW w:w="1026" w:type="dxa"/>
            <w:vAlign w:val="center"/>
          </w:tcPr>
          <w:p>
            <w:pPr>
              <w:adjustRightInd w:val="0"/>
              <w:snapToGrid w:val="0"/>
              <w:jc w:val="center"/>
              <w:rPr>
                <w:rFonts w:ascii="宋体" w:hAnsi="宋体"/>
                <w:szCs w:val="21"/>
              </w:rPr>
            </w:pPr>
            <w:r>
              <w:rPr>
                <w:rFonts w:ascii="宋体" w:hAnsi="宋体"/>
                <w:szCs w:val="21"/>
              </w:rPr>
              <w:t>1</w:t>
            </w:r>
            <w:r>
              <w:rPr>
                <w:rFonts w:hint="eastAsia" w:ascii="宋体" w:hAnsi="宋体"/>
                <w:szCs w:val="21"/>
              </w:rPr>
              <w:t>0</w:t>
            </w:r>
          </w:p>
        </w:tc>
        <w:tc>
          <w:tcPr>
            <w:tcW w:w="2149" w:type="dxa"/>
            <w:vAlign w:val="center"/>
          </w:tcPr>
          <w:p>
            <w:pPr>
              <w:adjustRightInd w:val="0"/>
              <w:snapToGrid w:val="0"/>
              <w:jc w:val="center"/>
              <w:rPr>
                <w:rFonts w:ascii="宋体" w:hAnsi="宋体" w:cs="Arial"/>
                <w:szCs w:val="21"/>
              </w:rPr>
            </w:pPr>
            <w:r>
              <w:rPr>
                <w:rFonts w:hint="eastAsia" w:ascii="宋体" w:hAnsi="宋体" w:cs="Arial"/>
                <w:szCs w:val="21"/>
              </w:rPr>
              <w:t>开标时间、地点</w:t>
            </w:r>
          </w:p>
        </w:tc>
        <w:tc>
          <w:tcPr>
            <w:tcW w:w="6521" w:type="dxa"/>
            <w:vAlign w:val="center"/>
          </w:tcPr>
          <w:p>
            <w:pPr>
              <w:adjustRightInd w:val="0"/>
              <w:snapToGrid w:val="0"/>
              <w:rPr>
                <w:rFonts w:ascii="宋体" w:hAnsi="宋体" w:cs="Arial"/>
                <w:szCs w:val="21"/>
              </w:rPr>
            </w:pPr>
            <w:r>
              <w:rPr>
                <w:rFonts w:hint="eastAsia" w:ascii="宋体" w:hAnsi="宋体" w:cs="Arial"/>
                <w:szCs w:val="21"/>
              </w:rPr>
              <w:t>开标时间：</w:t>
            </w:r>
            <w:bookmarkStart w:id="19" w:name="EB761b41a896b34681ae5c0ca672f07cae"/>
            <w:bookmarkEnd w:id="19"/>
            <w:r>
              <w:rPr>
                <w:rFonts w:ascii="宋体" w:hAnsi="宋体" w:cs="宋体"/>
                <w:szCs w:val="21"/>
                <w:lang w:val="zh-CN"/>
              </w:rPr>
              <w:t>201</w:t>
            </w:r>
            <w:r>
              <w:rPr>
                <w:rFonts w:hint="eastAsia" w:ascii="宋体" w:hAnsi="宋体" w:cs="宋体"/>
                <w:szCs w:val="21"/>
                <w:lang w:val="zh-CN"/>
              </w:rPr>
              <w:t>9</w:t>
            </w:r>
            <w:r>
              <w:rPr>
                <w:rFonts w:ascii="宋体" w:hAnsi="宋体" w:cs="宋体"/>
                <w:szCs w:val="21"/>
                <w:lang w:val="zh-CN"/>
              </w:rPr>
              <w:t>年</w:t>
            </w:r>
            <w:r>
              <w:rPr>
                <w:rFonts w:hint="eastAsia" w:ascii="宋体" w:hAnsi="宋体" w:cs="宋体"/>
                <w:szCs w:val="21"/>
              </w:rPr>
              <w:t>10</w:t>
            </w:r>
            <w:r>
              <w:rPr>
                <w:rFonts w:ascii="宋体" w:hAnsi="宋体" w:cs="宋体"/>
                <w:szCs w:val="21"/>
                <w:lang w:val="zh-CN"/>
              </w:rPr>
              <w:t>月</w:t>
            </w:r>
            <w:r>
              <w:rPr>
                <w:rFonts w:hint="eastAsia" w:ascii="宋体" w:hAnsi="宋体" w:cs="宋体"/>
                <w:szCs w:val="21"/>
                <w:lang w:val="zh-CN"/>
              </w:rPr>
              <w:t xml:space="preserve"> </w:t>
            </w:r>
            <w:r>
              <w:rPr>
                <w:rFonts w:hint="eastAsia" w:ascii="宋体" w:hAnsi="宋体" w:cs="宋体"/>
                <w:szCs w:val="21"/>
              </w:rPr>
              <w:t>22</w:t>
            </w:r>
            <w:r>
              <w:rPr>
                <w:rFonts w:hint="eastAsia" w:ascii="宋体" w:hAnsi="宋体" w:cs="宋体"/>
                <w:szCs w:val="21"/>
                <w:lang w:val="zh-CN"/>
              </w:rPr>
              <w:t xml:space="preserve"> </w:t>
            </w:r>
            <w:r>
              <w:rPr>
                <w:rFonts w:ascii="宋体" w:hAnsi="宋体" w:cs="宋体"/>
                <w:szCs w:val="21"/>
                <w:lang w:val="zh-CN"/>
              </w:rPr>
              <w:t>日09时30分</w:t>
            </w:r>
          </w:p>
          <w:p>
            <w:pPr>
              <w:adjustRightInd w:val="0"/>
              <w:snapToGrid w:val="0"/>
              <w:rPr>
                <w:rFonts w:ascii="宋体" w:hAnsi="宋体" w:cs="Arial"/>
                <w:szCs w:val="21"/>
              </w:rPr>
            </w:pPr>
            <w:r>
              <w:rPr>
                <w:rFonts w:hint="eastAsia" w:ascii="宋体" w:hAnsi="宋体" w:cs="Arial"/>
                <w:szCs w:val="21"/>
              </w:rPr>
              <w:t>开标地点：</w:t>
            </w:r>
            <w:r>
              <w:rPr>
                <w:rFonts w:hint="eastAsia" w:ascii="宋体" w:hAnsi="宋体" w:cs="宋体"/>
                <w:szCs w:val="21"/>
                <w:lang w:val="zh-CN"/>
              </w:rPr>
              <w:t>宜昌城市投资控股集团（宜昌市伍家岗区沿江大道189号） 8楼评标室</w:t>
            </w:r>
            <w:bookmarkStart w:id="20" w:name="EB403f2fcf50074a15b3e59bfd13a0bb25"/>
            <w:bookmarkEnd w:id="20"/>
            <w:bookmarkStart w:id="21" w:name="EB530d274117ee4258a103d8f11fc861a7"/>
            <w:bookmarkEnd w:id="21"/>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994" w:hRule="atLeast"/>
          <w:jc w:val="center"/>
        </w:trPr>
        <w:tc>
          <w:tcPr>
            <w:tcW w:w="1026" w:type="dxa"/>
            <w:vAlign w:val="center"/>
          </w:tcPr>
          <w:p>
            <w:pPr>
              <w:adjustRightInd w:val="0"/>
              <w:snapToGrid w:val="0"/>
              <w:jc w:val="center"/>
              <w:rPr>
                <w:rFonts w:ascii="宋体" w:hAnsi="宋体"/>
                <w:szCs w:val="21"/>
              </w:rPr>
            </w:pPr>
            <w:r>
              <w:rPr>
                <w:rFonts w:ascii="宋体" w:hAnsi="宋体"/>
                <w:szCs w:val="21"/>
              </w:rPr>
              <w:t>1</w:t>
            </w:r>
            <w:r>
              <w:rPr>
                <w:rFonts w:hint="eastAsia" w:ascii="宋体" w:hAnsi="宋体"/>
                <w:szCs w:val="21"/>
              </w:rPr>
              <w:t>1</w:t>
            </w:r>
          </w:p>
        </w:tc>
        <w:tc>
          <w:tcPr>
            <w:tcW w:w="2149" w:type="dxa"/>
            <w:vAlign w:val="center"/>
          </w:tcPr>
          <w:p>
            <w:pPr>
              <w:adjustRightInd w:val="0"/>
              <w:snapToGrid w:val="0"/>
              <w:jc w:val="center"/>
              <w:rPr>
                <w:rFonts w:ascii="宋体" w:hAnsi="宋体"/>
                <w:szCs w:val="21"/>
              </w:rPr>
            </w:pPr>
            <w:r>
              <w:rPr>
                <w:rFonts w:hint="eastAsia" w:ascii="宋体" w:hAnsi="宋体"/>
                <w:szCs w:val="21"/>
              </w:rPr>
              <w:t>评标委员会的组建及评审专家的确定方式</w:t>
            </w:r>
          </w:p>
        </w:tc>
        <w:tc>
          <w:tcPr>
            <w:tcW w:w="6521" w:type="dxa"/>
            <w:vAlign w:val="center"/>
          </w:tcPr>
          <w:p>
            <w:pPr>
              <w:adjustRightInd w:val="0"/>
              <w:snapToGrid w:val="0"/>
              <w:rPr>
                <w:rFonts w:ascii="宋体" w:hAnsi="宋体"/>
                <w:szCs w:val="21"/>
              </w:rPr>
            </w:pPr>
            <w:r>
              <w:rPr>
                <w:rFonts w:hint="eastAsia" w:ascii="宋体" w:hAnsi="宋体"/>
                <w:szCs w:val="21"/>
              </w:rPr>
              <w:t>采购人或者采购代理机构依法组建评标委员会，共5</w:t>
            </w:r>
            <w:r>
              <w:rPr>
                <w:rFonts w:ascii="宋体" w:hAnsi="宋体"/>
                <w:szCs w:val="21"/>
              </w:rPr>
              <w:t>人组成</w:t>
            </w:r>
            <w:r>
              <w:rPr>
                <w:rFonts w:hint="eastAsia" w:ascii="宋体" w:hAnsi="宋体"/>
                <w:szCs w:val="21"/>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70" w:hRule="atLeast"/>
          <w:jc w:val="center"/>
        </w:trPr>
        <w:tc>
          <w:tcPr>
            <w:tcW w:w="1026" w:type="dxa"/>
            <w:vAlign w:val="center"/>
          </w:tcPr>
          <w:p>
            <w:pPr>
              <w:adjustRightInd w:val="0"/>
              <w:snapToGrid w:val="0"/>
              <w:jc w:val="center"/>
              <w:rPr>
                <w:rFonts w:ascii="宋体" w:hAnsi="宋体"/>
                <w:szCs w:val="21"/>
              </w:rPr>
            </w:pPr>
            <w:r>
              <w:rPr>
                <w:rFonts w:ascii="宋体" w:hAnsi="宋体"/>
                <w:szCs w:val="21"/>
              </w:rPr>
              <w:t>1</w:t>
            </w:r>
            <w:r>
              <w:rPr>
                <w:rFonts w:hint="eastAsia" w:ascii="宋体" w:hAnsi="宋体"/>
                <w:szCs w:val="21"/>
              </w:rPr>
              <w:t>2</w:t>
            </w:r>
          </w:p>
        </w:tc>
        <w:tc>
          <w:tcPr>
            <w:tcW w:w="2149" w:type="dxa"/>
            <w:vAlign w:val="center"/>
          </w:tcPr>
          <w:p>
            <w:pPr>
              <w:adjustRightInd w:val="0"/>
              <w:snapToGrid w:val="0"/>
              <w:jc w:val="center"/>
              <w:rPr>
                <w:rFonts w:ascii="宋体" w:hAnsi="宋体"/>
                <w:szCs w:val="21"/>
              </w:rPr>
            </w:pPr>
            <w:r>
              <w:rPr>
                <w:rFonts w:hint="eastAsia" w:ascii="宋体" w:hAnsi="宋体"/>
                <w:szCs w:val="21"/>
              </w:rPr>
              <w:t>投标保证金</w:t>
            </w:r>
          </w:p>
        </w:tc>
        <w:tc>
          <w:tcPr>
            <w:tcW w:w="6521" w:type="dxa"/>
            <w:vAlign w:val="center"/>
          </w:tcPr>
          <w:p>
            <w:pPr>
              <w:adjustRightInd w:val="0"/>
              <w:snapToGrid w:val="0"/>
              <w:rPr>
                <w:rFonts w:ascii="宋体" w:hAnsi="宋体"/>
                <w:bCs/>
                <w:szCs w:val="21"/>
              </w:rPr>
            </w:pPr>
            <w:r>
              <w:rPr>
                <w:rFonts w:hint="eastAsia" w:ascii="宋体" w:hAnsi="宋体"/>
                <w:bCs/>
                <w:szCs w:val="21"/>
              </w:rPr>
              <w:t>本项目不设置投标保证金</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45" w:hRule="atLeast"/>
          <w:jc w:val="center"/>
        </w:trPr>
        <w:tc>
          <w:tcPr>
            <w:tcW w:w="1026" w:type="dxa"/>
            <w:vAlign w:val="center"/>
          </w:tcPr>
          <w:p>
            <w:pPr>
              <w:adjustRightInd w:val="0"/>
              <w:snapToGrid w:val="0"/>
              <w:jc w:val="center"/>
              <w:rPr>
                <w:rFonts w:ascii="宋体" w:hAnsi="宋体"/>
                <w:szCs w:val="21"/>
              </w:rPr>
            </w:pPr>
            <w:r>
              <w:rPr>
                <w:rFonts w:hint="eastAsia" w:ascii="宋体" w:hAnsi="宋体"/>
                <w:szCs w:val="21"/>
              </w:rPr>
              <w:t>13</w:t>
            </w:r>
          </w:p>
        </w:tc>
        <w:tc>
          <w:tcPr>
            <w:tcW w:w="2149" w:type="dxa"/>
            <w:vAlign w:val="center"/>
          </w:tcPr>
          <w:p>
            <w:pPr>
              <w:adjustRightInd w:val="0"/>
              <w:snapToGrid w:val="0"/>
              <w:jc w:val="center"/>
              <w:rPr>
                <w:rFonts w:ascii="宋体" w:hAnsi="宋体"/>
                <w:szCs w:val="21"/>
              </w:rPr>
            </w:pPr>
            <w:r>
              <w:rPr>
                <w:rFonts w:hint="eastAsia" w:ascii="宋体" w:hAnsi="宋体"/>
                <w:szCs w:val="21"/>
              </w:rPr>
              <w:t>最高限价</w:t>
            </w:r>
          </w:p>
        </w:tc>
        <w:tc>
          <w:tcPr>
            <w:tcW w:w="6521" w:type="dxa"/>
            <w:vAlign w:val="center"/>
          </w:tcPr>
          <w:p>
            <w:pPr>
              <w:adjustRightInd w:val="0"/>
              <w:snapToGrid w:val="0"/>
              <w:rPr>
                <w:rFonts w:ascii="宋体" w:hAnsi="宋体"/>
                <w:bCs/>
                <w:szCs w:val="21"/>
              </w:rPr>
            </w:pPr>
            <w:r>
              <w:rPr>
                <w:rFonts w:hint="eastAsia" w:ascii="宋体" w:hAnsi="宋体"/>
                <w:bCs/>
                <w:szCs w:val="21"/>
              </w:rPr>
              <w:t>本项目最高限价为人民币1849800.00元 ，</w:t>
            </w:r>
          </w:p>
          <w:p>
            <w:pPr>
              <w:adjustRightInd w:val="0"/>
              <w:snapToGrid w:val="0"/>
              <w:rPr>
                <w:rFonts w:ascii="宋体" w:hAnsi="宋体"/>
                <w:bCs/>
                <w:szCs w:val="21"/>
              </w:rPr>
            </w:pPr>
            <w:r>
              <w:rPr>
                <w:rFonts w:hint="eastAsia" w:ascii="宋体" w:hAnsi="宋体"/>
                <w:bCs/>
                <w:szCs w:val="21"/>
              </w:rPr>
              <w:t>投标人的投标总价不得超过此最高限价，否则其投标文件无效。</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67" w:hRule="atLeast"/>
          <w:jc w:val="center"/>
        </w:trPr>
        <w:tc>
          <w:tcPr>
            <w:tcW w:w="1026" w:type="dxa"/>
            <w:vAlign w:val="center"/>
          </w:tcPr>
          <w:p>
            <w:pPr>
              <w:adjustRightInd w:val="0"/>
              <w:snapToGrid w:val="0"/>
              <w:jc w:val="center"/>
              <w:rPr>
                <w:rFonts w:ascii="宋体" w:hAnsi="宋体"/>
                <w:szCs w:val="21"/>
              </w:rPr>
            </w:pPr>
            <w:r>
              <w:rPr>
                <w:rFonts w:ascii="宋体" w:hAnsi="宋体"/>
                <w:szCs w:val="21"/>
              </w:rPr>
              <w:t>1</w:t>
            </w:r>
            <w:r>
              <w:rPr>
                <w:rFonts w:hint="eastAsia" w:ascii="宋体" w:hAnsi="宋体"/>
                <w:szCs w:val="21"/>
              </w:rPr>
              <w:t>4</w:t>
            </w:r>
          </w:p>
        </w:tc>
        <w:tc>
          <w:tcPr>
            <w:tcW w:w="2149" w:type="dxa"/>
            <w:vAlign w:val="center"/>
          </w:tcPr>
          <w:p>
            <w:pPr>
              <w:adjustRightInd w:val="0"/>
              <w:snapToGrid w:val="0"/>
              <w:jc w:val="center"/>
              <w:rPr>
                <w:rFonts w:ascii="宋体" w:hAnsi="宋体"/>
                <w:szCs w:val="21"/>
              </w:rPr>
            </w:pPr>
            <w:r>
              <w:rPr>
                <w:rFonts w:hint="eastAsia" w:ascii="宋体" w:hAnsi="宋体"/>
                <w:szCs w:val="21"/>
              </w:rPr>
              <w:t>履约保函</w:t>
            </w:r>
          </w:p>
        </w:tc>
        <w:tc>
          <w:tcPr>
            <w:tcW w:w="6521" w:type="dxa"/>
            <w:vAlign w:val="center"/>
          </w:tcPr>
          <w:p>
            <w:pPr>
              <w:adjustRightInd w:val="0"/>
              <w:snapToGrid w:val="0"/>
              <w:rPr>
                <w:rFonts w:ascii="宋体" w:hAnsi="宋体"/>
                <w:szCs w:val="21"/>
              </w:rPr>
            </w:pPr>
            <w:r>
              <w:rPr>
                <w:rFonts w:hint="eastAsia" w:ascii="宋体" w:hAnsi="宋体" w:cs="Arial"/>
                <w:szCs w:val="21"/>
              </w:rPr>
              <w:t>中标人在合同签署生效后提供</w:t>
            </w:r>
            <w:r>
              <w:rPr>
                <w:rFonts w:ascii="宋体" w:hAnsi="宋体" w:cs="Arial"/>
                <w:szCs w:val="21"/>
              </w:rPr>
              <w:t>10%</w:t>
            </w:r>
            <w:r>
              <w:rPr>
                <w:rFonts w:hint="eastAsia" w:ascii="宋体" w:hAnsi="宋体" w:cs="Arial"/>
                <w:szCs w:val="21"/>
              </w:rPr>
              <w:t>履约保函给甲方，在项目通过甲方验收合格并签署验收文档后、专家评审通过后</w:t>
            </w:r>
            <w:r>
              <w:rPr>
                <w:rFonts w:ascii="宋体" w:hAnsi="宋体" w:cs="Arial"/>
                <w:szCs w:val="21"/>
              </w:rPr>
              <w:t>解除履约保函</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34" w:hRule="atLeast"/>
          <w:jc w:val="center"/>
        </w:trPr>
        <w:tc>
          <w:tcPr>
            <w:tcW w:w="1026" w:type="dxa"/>
            <w:vAlign w:val="center"/>
          </w:tcPr>
          <w:p>
            <w:pPr>
              <w:adjustRightInd w:val="0"/>
              <w:snapToGrid w:val="0"/>
              <w:jc w:val="center"/>
              <w:rPr>
                <w:rFonts w:ascii="宋体" w:hAnsi="宋体"/>
                <w:szCs w:val="21"/>
              </w:rPr>
            </w:pPr>
            <w:r>
              <w:rPr>
                <w:rFonts w:ascii="宋体" w:hAnsi="宋体"/>
                <w:szCs w:val="21"/>
              </w:rPr>
              <w:t>1</w:t>
            </w:r>
            <w:r>
              <w:rPr>
                <w:rFonts w:hint="eastAsia" w:ascii="宋体" w:hAnsi="宋体"/>
                <w:szCs w:val="21"/>
              </w:rPr>
              <w:t>5</w:t>
            </w:r>
          </w:p>
        </w:tc>
        <w:tc>
          <w:tcPr>
            <w:tcW w:w="2149" w:type="dxa"/>
            <w:vAlign w:val="center"/>
          </w:tcPr>
          <w:p>
            <w:pPr>
              <w:adjustRightInd w:val="0"/>
              <w:snapToGrid w:val="0"/>
              <w:jc w:val="center"/>
              <w:rPr>
                <w:rFonts w:ascii="宋体" w:hAnsi="宋体"/>
                <w:szCs w:val="21"/>
              </w:rPr>
            </w:pPr>
            <w:r>
              <w:rPr>
                <w:rFonts w:hint="eastAsia" w:ascii="宋体" w:hAnsi="宋体"/>
                <w:szCs w:val="21"/>
              </w:rPr>
              <w:t>评标办法</w:t>
            </w:r>
          </w:p>
        </w:tc>
        <w:tc>
          <w:tcPr>
            <w:tcW w:w="6521" w:type="dxa"/>
            <w:vAlign w:val="center"/>
          </w:tcPr>
          <w:p>
            <w:pPr>
              <w:pStyle w:val="17"/>
              <w:adjustRightInd w:val="0"/>
              <w:snapToGrid w:val="0"/>
              <w:ind w:firstLine="0" w:firstLineChars="0"/>
              <w:rPr>
                <w:rFonts w:ascii="宋体" w:hAnsi="宋体"/>
                <w:szCs w:val="21"/>
              </w:rPr>
            </w:pPr>
            <w:bookmarkStart w:id="22" w:name="EBd5aa7f202c8d4c678cae2c44a1be1814"/>
            <w:r>
              <w:rPr>
                <w:rFonts w:ascii="宋体" w:hAnsi="宋体"/>
                <w:szCs w:val="21"/>
              </w:rPr>
              <w:sym w:font="Wingdings 2" w:char="0052"/>
            </w:r>
            <w:r>
              <w:rPr>
                <w:rFonts w:hint="eastAsia" w:ascii="宋体" w:hAnsi="宋体"/>
                <w:szCs w:val="21"/>
              </w:rPr>
              <w:t>综合评分法</w:t>
            </w:r>
            <w:bookmarkEnd w:id="22"/>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2" w:hRule="atLeast"/>
          <w:jc w:val="center"/>
        </w:trPr>
        <w:tc>
          <w:tcPr>
            <w:tcW w:w="1026" w:type="dxa"/>
            <w:vAlign w:val="center"/>
          </w:tcPr>
          <w:p>
            <w:pPr>
              <w:adjustRightInd w:val="0"/>
              <w:snapToGrid w:val="0"/>
              <w:jc w:val="center"/>
              <w:rPr>
                <w:rFonts w:ascii="宋体" w:hAnsi="宋体"/>
                <w:szCs w:val="21"/>
              </w:rPr>
            </w:pPr>
            <w:r>
              <w:rPr>
                <w:rFonts w:ascii="宋体" w:hAnsi="宋体"/>
                <w:szCs w:val="21"/>
              </w:rPr>
              <w:t>1</w:t>
            </w:r>
            <w:r>
              <w:rPr>
                <w:rFonts w:hint="eastAsia" w:ascii="宋体" w:hAnsi="宋体"/>
                <w:szCs w:val="21"/>
              </w:rPr>
              <w:t>6</w:t>
            </w:r>
          </w:p>
        </w:tc>
        <w:tc>
          <w:tcPr>
            <w:tcW w:w="2149" w:type="dxa"/>
            <w:vAlign w:val="center"/>
          </w:tcPr>
          <w:p>
            <w:pPr>
              <w:adjustRightInd w:val="0"/>
              <w:snapToGrid w:val="0"/>
              <w:jc w:val="center"/>
              <w:rPr>
                <w:rFonts w:ascii="宋体" w:hAnsi="宋体"/>
                <w:bCs/>
                <w:szCs w:val="21"/>
              </w:rPr>
            </w:pPr>
            <w:r>
              <w:rPr>
                <w:rFonts w:hint="eastAsia" w:ascii="宋体" w:hAnsi="宋体"/>
                <w:bCs/>
                <w:szCs w:val="21"/>
              </w:rPr>
              <w:t>投标有效期</w:t>
            </w:r>
          </w:p>
        </w:tc>
        <w:tc>
          <w:tcPr>
            <w:tcW w:w="6521" w:type="dxa"/>
            <w:vAlign w:val="center"/>
          </w:tcPr>
          <w:p>
            <w:pPr>
              <w:adjustRightInd w:val="0"/>
              <w:snapToGrid w:val="0"/>
              <w:rPr>
                <w:rFonts w:ascii="宋体" w:hAnsi="宋体"/>
                <w:bCs/>
                <w:szCs w:val="21"/>
              </w:rPr>
            </w:pPr>
            <w:bookmarkStart w:id="23" w:name="EBaa593fe786b74611aad8f511e87d96c9"/>
            <w:r>
              <w:rPr>
                <w:rFonts w:ascii="宋体" w:hAnsi="宋体"/>
                <w:szCs w:val="21"/>
              </w:rPr>
              <w:t>90</w:t>
            </w:r>
            <w:bookmarkEnd w:id="23"/>
            <w:r>
              <w:rPr>
                <w:rFonts w:hint="eastAsia" w:ascii="宋体" w:hAnsi="宋体"/>
                <w:szCs w:val="21"/>
              </w:rPr>
              <w:t>日（日历日）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53" w:hRule="atLeast"/>
          <w:jc w:val="center"/>
        </w:trPr>
        <w:tc>
          <w:tcPr>
            <w:tcW w:w="1026" w:type="dxa"/>
            <w:vAlign w:val="center"/>
          </w:tcPr>
          <w:p>
            <w:pPr>
              <w:adjustRightInd w:val="0"/>
              <w:snapToGrid w:val="0"/>
              <w:jc w:val="center"/>
              <w:rPr>
                <w:rFonts w:ascii="宋体" w:hAnsi="宋体"/>
                <w:szCs w:val="21"/>
              </w:rPr>
            </w:pPr>
            <w:r>
              <w:rPr>
                <w:rFonts w:ascii="宋体" w:hAnsi="宋体"/>
                <w:szCs w:val="21"/>
              </w:rPr>
              <w:t>1</w:t>
            </w:r>
            <w:r>
              <w:rPr>
                <w:rFonts w:hint="eastAsia" w:ascii="宋体" w:hAnsi="宋体"/>
                <w:szCs w:val="21"/>
              </w:rPr>
              <w:t>7</w:t>
            </w:r>
          </w:p>
        </w:tc>
        <w:tc>
          <w:tcPr>
            <w:tcW w:w="2149" w:type="dxa"/>
            <w:vAlign w:val="center"/>
          </w:tcPr>
          <w:p>
            <w:pPr>
              <w:adjustRightInd w:val="0"/>
              <w:snapToGrid w:val="0"/>
              <w:jc w:val="center"/>
              <w:rPr>
                <w:rFonts w:ascii="宋体" w:hAnsi="宋体"/>
                <w:szCs w:val="21"/>
              </w:rPr>
            </w:pPr>
            <w:r>
              <w:rPr>
                <w:rFonts w:hint="eastAsia" w:ascii="宋体" w:hAnsi="宋体"/>
                <w:szCs w:val="21"/>
              </w:rPr>
              <w:t>投标文件份数</w:t>
            </w:r>
          </w:p>
        </w:tc>
        <w:tc>
          <w:tcPr>
            <w:tcW w:w="6521" w:type="dxa"/>
            <w:vAlign w:val="center"/>
          </w:tcPr>
          <w:p>
            <w:pPr>
              <w:adjustRightInd w:val="0"/>
              <w:snapToGrid w:val="0"/>
              <w:rPr>
                <w:rFonts w:ascii="宋体" w:hAnsi="宋体"/>
                <w:szCs w:val="21"/>
              </w:rPr>
            </w:pPr>
            <w:bookmarkStart w:id="24" w:name="EB6683f8d037f14b10b4b3e285545528fc"/>
            <w:r>
              <w:rPr>
                <w:rFonts w:ascii="宋体" w:hAnsi="宋体"/>
                <w:szCs w:val="21"/>
              </w:rPr>
              <w:t>1、纸质投标文件：正本一份；副本一份。</w:t>
            </w:r>
          </w:p>
          <w:p>
            <w:pPr>
              <w:pStyle w:val="6"/>
              <w:adjustRightInd w:val="0"/>
              <w:snapToGrid w:val="0"/>
              <w:ind w:left="420" w:hanging="420" w:hangingChars="200"/>
              <w:rPr>
                <w:rFonts w:ascii="宋体" w:hAnsi="宋体"/>
                <w:szCs w:val="21"/>
              </w:rPr>
            </w:pPr>
            <w:r>
              <w:rPr>
                <w:rFonts w:ascii="宋体" w:hAnsi="宋体"/>
                <w:szCs w:val="21"/>
              </w:rPr>
              <w:t>2、电子投标文件：</w:t>
            </w:r>
            <w:r>
              <w:rPr>
                <w:rFonts w:hint="eastAsia" w:ascii="宋体" w:hAnsi="宋体"/>
                <w:color w:val="000000"/>
                <w:kern w:val="0"/>
                <w:szCs w:val="21"/>
              </w:rPr>
              <w:t>电子投标文件应登录宜昌城市建设投资控股集团有限公司招标采购平台账号点击</w:t>
            </w:r>
            <w:r>
              <w:rPr>
                <w:rFonts w:hint="eastAsia" w:ascii="宋体" w:hAnsi="宋体"/>
                <w:color w:val="000000"/>
                <w:kern w:val="0"/>
                <w:szCs w:val="21"/>
                <w:u w:val="single"/>
              </w:rPr>
              <w:t>宜昌白洋港区东西大门智能闸口改造项目</w:t>
            </w:r>
            <w:r>
              <w:rPr>
                <w:rFonts w:hint="eastAsia" w:ascii="宋体" w:hAnsi="宋体"/>
                <w:color w:val="000000"/>
                <w:kern w:val="0"/>
                <w:szCs w:val="21"/>
              </w:rPr>
              <w:t>“上传投标文件”按钮上传（具体操作参见《</w:t>
            </w:r>
            <w:r>
              <w:rPr>
                <w:rFonts w:ascii="宋体" w:hAnsi="宋体"/>
                <w:bCs/>
                <w:color w:val="000000"/>
                <w:kern w:val="0"/>
                <w:szCs w:val="21"/>
              </w:rPr>
              <w:t>宜昌城建控股集团</w:t>
            </w:r>
            <w:r>
              <w:rPr>
                <w:rFonts w:hint="eastAsia" w:ascii="宋体" w:hAnsi="宋体"/>
                <w:bCs/>
                <w:color w:val="000000"/>
                <w:kern w:val="0"/>
                <w:szCs w:val="21"/>
              </w:rPr>
              <w:t>招标采购平台</w:t>
            </w:r>
            <w:r>
              <w:rPr>
                <w:rFonts w:ascii="宋体" w:hAnsi="宋体"/>
                <w:bCs/>
                <w:color w:val="000000"/>
                <w:kern w:val="0"/>
                <w:szCs w:val="21"/>
              </w:rPr>
              <w:t>供应商门户操作手册</w:t>
            </w:r>
            <w:r>
              <w:rPr>
                <w:rFonts w:hint="eastAsia" w:ascii="宋体" w:hAnsi="宋体"/>
                <w:color w:val="000000"/>
                <w:kern w:val="0"/>
                <w:szCs w:val="21"/>
              </w:rPr>
              <w:t>》）。未在规定时间内传输到相关网站栏目的投标文件，采购人不予受理。</w:t>
            </w:r>
            <w:r>
              <w:rPr>
                <w:rFonts w:ascii="宋体" w:hAnsi="宋体" w:cs="Arial"/>
                <w:szCs w:val="21"/>
              </w:rPr>
              <w:t xml:space="preserve"> </w:t>
            </w:r>
            <w:bookmarkEnd w:id="24"/>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53" w:hRule="atLeast"/>
          <w:jc w:val="center"/>
        </w:trPr>
        <w:tc>
          <w:tcPr>
            <w:tcW w:w="1026" w:type="dxa"/>
            <w:vAlign w:val="center"/>
          </w:tcPr>
          <w:p>
            <w:pPr>
              <w:adjustRightInd w:val="0"/>
              <w:snapToGrid w:val="0"/>
              <w:jc w:val="center"/>
              <w:rPr>
                <w:rFonts w:ascii="宋体" w:hAnsi="宋体"/>
                <w:szCs w:val="21"/>
              </w:rPr>
            </w:pPr>
            <w:r>
              <w:rPr>
                <w:rFonts w:ascii="宋体" w:hAnsi="宋体"/>
                <w:szCs w:val="21"/>
              </w:rPr>
              <w:t>1</w:t>
            </w:r>
            <w:r>
              <w:rPr>
                <w:rFonts w:hint="eastAsia" w:ascii="宋体" w:hAnsi="宋体"/>
                <w:szCs w:val="21"/>
              </w:rPr>
              <w:t>8</w:t>
            </w:r>
          </w:p>
        </w:tc>
        <w:tc>
          <w:tcPr>
            <w:tcW w:w="2149" w:type="dxa"/>
            <w:vAlign w:val="center"/>
          </w:tcPr>
          <w:p>
            <w:pPr>
              <w:adjustRightInd w:val="0"/>
              <w:snapToGrid w:val="0"/>
              <w:jc w:val="center"/>
              <w:rPr>
                <w:rFonts w:ascii="宋体" w:hAnsi="宋体"/>
                <w:szCs w:val="21"/>
              </w:rPr>
            </w:pPr>
            <w:r>
              <w:rPr>
                <w:rFonts w:hint="eastAsia" w:ascii="宋体" w:hAnsi="宋体" w:cs="宋体"/>
                <w:szCs w:val="21"/>
              </w:rPr>
              <w:t>计税模式</w:t>
            </w:r>
          </w:p>
        </w:tc>
        <w:tc>
          <w:tcPr>
            <w:tcW w:w="6521" w:type="dxa"/>
            <w:vAlign w:val="center"/>
          </w:tcPr>
          <w:p>
            <w:pPr>
              <w:spacing w:line="320" w:lineRule="exact"/>
              <w:rPr>
                <w:rFonts w:ascii="宋体" w:hAnsi="宋体"/>
                <w:color w:val="000000"/>
                <w:kern w:val="0"/>
                <w:szCs w:val="21"/>
              </w:rPr>
            </w:pPr>
            <w:r>
              <w:rPr>
                <w:rFonts w:hint="eastAsia"/>
                <w:color w:val="000000"/>
              </w:rPr>
              <w:t>本项目投标按增值税计税模式报价，其中软硬件税率13%，施工税率6%。</w:t>
            </w:r>
          </w:p>
          <w:p>
            <w:pPr>
              <w:adjustRightInd w:val="0"/>
              <w:snapToGrid w:val="0"/>
              <w:rPr>
                <w:rFonts w:ascii="宋体" w:hAnsi="宋体"/>
                <w:szCs w:val="21"/>
              </w:rPr>
            </w:pPr>
            <w:r>
              <w:rPr>
                <w:rFonts w:hint="eastAsia" w:ascii="宋体" w:hAnsi="宋体"/>
                <w:color w:val="000000"/>
                <w:kern w:val="0"/>
                <w:szCs w:val="21"/>
              </w:rPr>
              <w:t>本工</w:t>
            </w:r>
            <w:r>
              <w:rPr>
                <w:rFonts w:hint="eastAsia" w:ascii="宋体" w:hAnsi="宋体" w:cs="宋体"/>
                <w:szCs w:val="21"/>
              </w:rPr>
              <w:t>程甲供材料：无。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01" w:hRule="atLeast"/>
          <w:jc w:val="center"/>
        </w:trPr>
        <w:tc>
          <w:tcPr>
            <w:tcW w:w="1026" w:type="dxa"/>
            <w:vAlign w:val="center"/>
          </w:tcPr>
          <w:p>
            <w:pPr>
              <w:adjustRightInd w:val="0"/>
              <w:snapToGrid w:val="0"/>
              <w:jc w:val="center"/>
              <w:rPr>
                <w:rFonts w:ascii="宋体" w:hAnsi="宋体"/>
                <w:szCs w:val="21"/>
              </w:rPr>
            </w:pPr>
            <w:r>
              <w:rPr>
                <w:rFonts w:ascii="宋体" w:hAnsi="宋体"/>
                <w:szCs w:val="21"/>
              </w:rPr>
              <w:t>1</w:t>
            </w:r>
            <w:r>
              <w:rPr>
                <w:rFonts w:hint="eastAsia" w:ascii="宋体" w:hAnsi="宋体"/>
                <w:szCs w:val="21"/>
              </w:rPr>
              <w:t>9</w:t>
            </w:r>
          </w:p>
        </w:tc>
        <w:tc>
          <w:tcPr>
            <w:tcW w:w="2149" w:type="dxa"/>
            <w:vAlign w:val="center"/>
          </w:tcPr>
          <w:p>
            <w:pPr>
              <w:adjustRightInd w:val="0"/>
              <w:snapToGrid w:val="0"/>
              <w:jc w:val="center"/>
              <w:rPr>
                <w:rFonts w:ascii="宋体" w:hAnsi="宋体"/>
                <w:szCs w:val="21"/>
              </w:rPr>
            </w:pPr>
            <w:r>
              <w:rPr>
                <w:rFonts w:hint="eastAsia" w:ascii="宋体" w:hAnsi="宋体"/>
                <w:szCs w:val="21"/>
              </w:rPr>
              <w:t>中标服务费</w:t>
            </w:r>
          </w:p>
        </w:tc>
        <w:tc>
          <w:tcPr>
            <w:tcW w:w="6521" w:type="dxa"/>
            <w:vAlign w:val="center"/>
          </w:tcPr>
          <w:p>
            <w:pPr>
              <w:adjustRightInd w:val="0"/>
              <w:snapToGrid w:val="0"/>
              <w:rPr>
                <w:rFonts w:ascii="宋体" w:hAnsi="宋体" w:cs="Arial"/>
                <w:szCs w:val="21"/>
              </w:rPr>
            </w:pPr>
            <w:bookmarkStart w:id="25" w:name="EB53aef8ebb7e94cca9ea2c7264c2d789f"/>
            <w:r>
              <w:rPr>
                <w:rFonts w:hint="eastAsia" w:ascii="宋体" w:hAnsi="宋体" w:cs="Arial"/>
                <w:szCs w:val="21"/>
              </w:rPr>
              <w:t>本项目采购代理服务费为人民币</w:t>
            </w:r>
            <w:r>
              <w:rPr>
                <w:rFonts w:hint="eastAsia" w:ascii="宋体" w:hAnsi="宋体"/>
                <w:bCs/>
                <w:szCs w:val="21"/>
              </w:rPr>
              <w:t>伍仟元整（￥5000.00元）</w:t>
            </w:r>
            <w:r>
              <w:rPr>
                <w:rFonts w:hint="eastAsia" w:ascii="宋体" w:hAnsi="宋体" w:cs="Arial"/>
                <w:szCs w:val="21"/>
              </w:rPr>
              <w:t>，由中标人在领取中标通知书以前向采购代理机构缴纳。</w:t>
            </w:r>
            <w:bookmarkEnd w:id="25"/>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34" w:hRule="atLeast"/>
          <w:jc w:val="center"/>
        </w:trPr>
        <w:tc>
          <w:tcPr>
            <w:tcW w:w="1026" w:type="dxa"/>
            <w:vAlign w:val="center"/>
          </w:tcPr>
          <w:p>
            <w:pPr>
              <w:adjustRightInd w:val="0"/>
              <w:snapToGrid w:val="0"/>
              <w:jc w:val="center"/>
              <w:rPr>
                <w:rFonts w:ascii="宋体" w:hAnsi="宋体"/>
                <w:szCs w:val="21"/>
              </w:rPr>
            </w:pPr>
            <w:r>
              <w:rPr>
                <w:rFonts w:hint="eastAsia" w:ascii="宋体" w:hAnsi="宋体"/>
                <w:szCs w:val="21"/>
              </w:rPr>
              <w:t>20</w:t>
            </w:r>
          </w:p>
        </w:tc>
        <w:tc>
          <w:tcPr>
            <w:tcW w:w="2149" w:type="dxa"/>
            <w:vAlign w:val="center"/>
          </w:tcPr>
          <w:p>
            <w:pPr>
              <w:adjustRightInd w:val="0"/>
              <w:snapToGrid w:val="0"/>
              <w:jc w:val="center"/>
              <w:rPr>
                <w:rFonts w:ascii="宋体" w:hAnsi="宋体" w:cs="Arial"/>
                <w:szCs w:val="21"/>
              </w:rPr>
            </w:pPr>
            <w:r>
              <w:rPr>
                <w:rFonts w:hint="eastAsia" w:ascii="宋体" w:hAnsi="宋体" w:cs="Arial"/>
                <w:szCs w:val="21"/>
              </w:rPr>
              <w:t>采购项目验收电话</w:t>
            </w:r>
          </w:p>
        </w:tc>
        <w:tc>
          <w:tcPr>
            <w:tcW w:w="6521" w:type="dxa"/>
            <w:vAlign w:val="center"/>
          </w:tcPr>
          <w:p>
            <w:pPr>
              <w:adjustRightInd w:val="0"/>
              <w:snapToGrid w:val="0"/>
              <w:rPr>
                <w:rFonts w:ascii="宋体" w:hAnsi="宋体" w:cs="Arial"/>
                <w:szCs w:val="21"/>
              </w:rPr>
            </w:pPr>
            <w:r>
              <w:rPr>
                <w:rFonts w:ascii="宋体" w:hAnsi="宋体" w:cs="宋体"/>
                <w:szCs w:val="21"/>
                <w:lang w:val="zh-CN"/>
              </w:rPr>
              <w:t>15897517588</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001" w:hRule="atLeast"/>
          <w:jc w:val="center"/>
        </w:trPr>
        <w:tc>
          <w:tcPr>
            <w:tcW w:w="1026" w:type="dxa"/>
            <w:vAlign w:val="center"/>
          </w:tcPr>
          <w:p>
            <w:pPr>
              <w:adjustRightInd w:val="0"/>
              <w:snapToGrid w:val="0"/>
              <w:jc w:val="center"/>
              <w:rPr>
                <w:rFonts w:ascii="宋体" w:hAnsi="宋体"/>
                <w:szCs w:val="21"/>
              </w:rPr>
            </w:pPr>
            <w:r>
              <w:rPr>
                <w:rFonts w:hint="eastAsia" w:ascii="宋体" w:hAnsi="宋体"/>
                <w:szCs w:val="21"/>
              </w:rPr>
              <w:t>21</w:t>
            </w:r>
          </w:p>
        </w:tc>
        <w:tc>
          <w:tcPr>
            <w:tcW w:w="2149" w:type="dxa"/>
            <w:vAlign w:val="center"/>
          </w:tcPr>
          <w:p>
            <w:pPr>
              <w:adjustRightInd w:val="0"/>
              <w:snapToGrid w:val="0"/>
              <w:jc w:val="center"/>
              <w:rPr>
                <w:rFonts w:ascii="宋体" w:hAnsi="宋体" w:cs="Arial"/>
                <w:szCs w:val="21"/>
              </w:rPr>
            </w:pPr>
            <w:r>
              <w:rPr>
                <w:rFonts w:hint="eastAsia" w:ascii="宋体" w:hAnsi="宋体" w:cs="Arial"/>
                <w:szCs w:val="21"/>
              </w:rPr>
              <w:t>投标文件盖章要求</w:t>
            </w:r>
          </w:p>
        </w:tc>
        <w:tc>
          <w:tcPr>
            <w:tcW w:w="6521" w:type="dxa"/>
            <w:vAlign w:val="center"/>
          </w:tcPr>
          <w:p>
            <w:pPr>
              <w:adjustRightInd w:val="0"/>
              <w:snapToGrid w:val="0"/>
              <w:jc w:val="left"/>
              <w:rPr>
                <w:rFonts w:ascii="宋体" w:hAnsi="宋体" w:cs="Arial"/>
                <w:szCs w:val="21"/>
              </w:rPr>
            </w:pPr>
            <w:r>
              <w:rPr>
                <w:rFonts w:hint="eastAsia" w:ascii="宋体" w:hAnsi="宋体" w:cs="Arial"/>
                <w:szCs w:val="21"/>
              </w:rPr>
              <w:t>投标人在投标文件及相关文件的签订、履行、通知等事项书面文件中的“单位公章”、“单位章”和“公章”处均仅指与供应商名称全称相一致的标准公章，不得使用其他形式（如带有“专用章”、“合同章”、“财务章”、“业务章”等字样）的印章；否则，按无效投标处理。</w:t>
            </w:r>
          </w:p>
        </w:tc>
      </w:tr>
    </w:tbl>
    <w:p>
      <w:pPr>
        <w:spacing w:line="400" w:lineRule="exact"/>
        <w:rPr>
          <w:color w:val="000000"/>
        </w:rPr>
      </w:pPr>
    </w:p>
    <w:p>
      <w:pPr>
        <w:spacing w:line="400" w:lineRule="exact"/>
        <w:rPr>
          <w:color w:val="000000"/>
        </w:rPr>
      </w:pPr>
      <w:r>
        <w:rPr>
          <w:color w:val="000000"/>
        </w:rPr>
        <w:br w:type="page"/>
      </w:r>
    </w:p>
    <w:p>
      <w:pPr>
        <w:pStyle w:val="3"/>
        <w:rPr>
          <w:color w:val="000000"/>
        </w:rPr>
      </w:pPr>
      <w:bookmarkStart w:id="26" w:name="_Toc18672558"/>
      <w:r>
        <w:rPr>
          <w:rFonts w:hint="eastAsia"/>
          <w:color w:val="000000"/>
        </w:rPr>
        <w:t>投标人须知正文部分</w:t>
      </w:r>
      <w:bookmarkEnd w:id="13"/>
      <w:bookmarkEnd w:id="26"/>
    </w:p>
    <w:p>
      <w:pPr>
        <w:pStyle w:val="3"/>
        <w:jc w:val="both"/>
        <w:rPr>
          <w:color w:val="000000"/>
        </w:rPr>
      </w:pPr>
      <w:bookmarkStart w:id="27" w:name="_Toc18672559"/>
      <w:bookmarkStart w:id="28" w:name="_Toc522293506"/>
      <w:r>
        <w:rPr>
          <w:rFonts w:hint="eastAsia"/>
          <w:color w:val="000000"/>
        </w:rPr>
        <w:t>1. 总则</w:t>
      </w:r>
      <w:bookmarkEnd w:id="27"/>
      <w:bookmarkEnd w:id="28"/>
    </w:p>
    <w:p>
      <w:pPr>
        <w:pStyle w:val="4"/>
        <w:keepNext w:val="0"/>
        <w:keepLines w:val="0"/>
        <w:jc w:val="both"/>
        <w:rPr>
          <w:color w:val="000000"/>
        </w:rPr>
      </w:pPr>
      <w:r>
        <w:rPr>
          <w:rFonts w:hint="eastAsia"/>
          <w:color w:val="000000"/>
        </w:rPr>
        <w:t>1.1 项目概况</w:t>
      </w:r>
    </w:p>
    <w:p>
      <w:pPr>
        <w:spacing w:line="400" w:lineRule="exact"/>
        <w:ind w:firstLine="482"/>
        <w:rPr>
          <w:color w:val="000000"/>
        </w:rPr>
      </w:pPr>
      <w:r>
        <w:rPr>
          <w:rFonts w:hint="eastAsia"/>
          <w:color w:val="000000"/>
        </w:rPr>
        <w:t>1.1.1 根据《中华人民共和国招标投标法》、《中华人民共和国招标投标法实施条例》等有关法律、法规和规章的规定，本招标项目已具备招标条件，现对本项目进行招标。</w:t>
      </w:r>
    </w:p>
    <w:p>
      <w:pPr>
        <w:spacing w:line="400" w:lineRule="exact"/>
        <w:ind w:firstLine="482"/>
        <w:rPr>
          <w:color w:val="000000"/>
        </w:rPr>
      </w:pPr>
      <w:r>
        <w:rPr>
          <w:rFonts w:hint="eastAsia"/>
          <w:color w:val="000000"/>
        </w:rPr>
        <w:t>1.1.2 本招标项目招标人：见投标人须知前附表。</w:t>
      </w:r>
    </w:p>
    <w:p>
      <w:pPr>
        <w:spacing w:line="400" w:lineRule="exact"/>
        <w:ind w:firstLine="482"/>
        <w:rPr>
          <w:color w:val="000000"/>
        </w:rPr>
      </w:pPr>
      <w:r>
        <w:rPr>
          <w:rFonts w:hint="eastAsia"/>
          <w:color w:val="000000"/>
        </w:rPr>
        <w:t>1.1.3 本项目招标代理机构：见投标人须知前附表。</w:t>
      </w:r>
    </w:p>
    <w:p>
      <w:pPr>
        <w:spacing w:line="400" w:lineRule="exact"/>
        <w:ind w:firstLine="482"/>
        <w:rPr>
          <w:color w:val="000000"/>
        </w:rPr>
      </w:pPr>
      <w:r>
        <w:rPr>
          <w:rFonts w:hint="eastAsia"/>
          <w:color w:val="000000"/>
        </w:rPr>
        <w:t>1.1.4 本招标项目名称：见投标人须知前附表。</w:t>
      </w:r>
    </w:p>
    <w:p>
      <w:pPr>
        <w:pStyle w:val="4"/>
        <w:keepNext w:val="0"/>
        <w:keepLines w:val="0"/>
        <w:jc w:val="both"/>
        <w:rPr>
          <w:color w:val="000000"/>
        </w:rPr>
      </w:pPr>
      <w:r>
        <w:rPr>
          <w:rFonts w:hint="eastAsia"/>
          <w:color w:val="000000"/>
        </w:rPr>
        <w:t>1.2投标人资格要求</w:t>
      </w:r>
    </w:p>
    <w:p>
      <w:pPr>
        <w:spacing w:line="400" w:lineRule="exact"/>
        <w:ind w:firstLine="482"/>
        <w:rPr>
          <w:color w:val="000000"/>
        </w:rPr>
      </w:pPr>
      <w:r>
        <w:rPr>
          <w:rFonts w:hint="eastAsia"/>
          <w:color w:val="000000"/>
        </w:rPr>
        <w:t>1.2.1 投标人应具备承担本采购项目的资质条件、能力和信誉。</w:t>
      </w:r>
    </w:p>
    <w:p>
      <w:pPr>
        <w:spacing w:line="400" w:lineRule="exact"/>
        <w:ind w:firstLine="482"/>
        <w:rPr>
          <w:color w:val="000000"/>
        </w:rPr>
      </w:pPr>
      <w:r>
        <w:rPr>
          <w:rFonts w:hint="eastAsia"/>
          <w:color w:val="000000"/>
        </w:rPr>
        <w:t>（1）资质条件：见投标人须知前附表；</w:t>
      </w:r>
    </w:p>
    <w:p>
      <w:pPr>
        <w:spacing w:line="400" w:lineRule="exact"/>
        <w:ind w:firstLine="482"/>
        <w:rPr>
          <w:color w:val="000000"/>
        </w:rPr>
      </w:pPr>
      <w:r>
        <w:rPr>
          <w:rFonts w:hint="eastAsia"/>
          <w:color w:val="000000"/>
        </w:rPr>
        <w:t>（4）信誉要求：见投标人须知前附表;</w:t>
      </w:r>
    </w:p>
    <w:p>
      <w:pPr>
        <w:spacing w:line="400" w:lineRule="exact"/>
        <w:ind w:firstLine="482"/>
        <w:rPr>
          <w:color w:val="000000"/>
        </w:rPr>
      </w:pPr>
      <w:r>
        <w:rPr>
          <w:rFonts w:hint="eastAsia"/>
          <w:color w:val="000000"/>
        </w:rPr>
        <w:t>（3）其他要求：见投标人须知前附表。</w:t>
      </w:r>
    </w:p>
    <w:p>
      <w:pPr>
        <w:spacing w:line="400" w:lineRule="exact"/>
        <w:ind w:firstLine="482"/>
        <w:rPr>
          <w:color w:val="000000"/>
        </w:rPr>
      </w:pPr>
      <w:r>
        <w:rPr>
          <w:rFonts w:hint="eastAsia"/>
          <w:color w:val="000000"/>
        </w:rPr>
        <w:t>1.2.2投标人不得存在下列情形之一：</w:t>
      </w:r>
    </w:p>
    <w:p>
      <w:pPr>
        <w:spacing w:line="400" w:lineRule="exact"/>
        <w:ind w:firstLine="482"/>
        <w:rPr>
          <w:color w:val="000000"/>
        </w:rPr>
      </w:pPr>
      <w:r>
        <w:rPr>
          <w:rFonts w:hint="eastAsia"/>
          <w:color w:val="000000"/>
        </w:rPr>
        <w:t xml:space="preserve">（1）为招标人不具有独立法人资格的附属机构（单位）； </w:t>
      </w:r>
    </w:p>
    <w:p>
      <w:pPr>
        <w:spacing w:line="400" w:lineRule="exact"/>
        <w:ind w:firstLine="482"/>
        <w:rPr>
          <w:color w:val="000000"/>
        </w:rPr>
      </w:pPr>
      <w:r>
        <w:rPr>
          <w:rFonts w:hint="eastAsia"/>
          <w:color w:val="000000"/>
        </w:rPr>
        <w:t xml:space="preserve">（2）为本标段提供招标代理服务的； </w:t>
      </w:r>
    </w:p>
    <w:p>
      <w:pPr>
        <w:spacing w:line="400" w:lineRule="exact"/>
        <w:ind w:firstLine="482"/>
        <w:rPr>
          <w:color w:val="000000"/>
        </w:rPr>
      </w:pPr>
      <w:r>
        <w:rPr>
          <w:rFonts w:hint="eastAsia"/>
          <w:color w:val="000000"/>
        </w:rPr>
        <w:t>（3）被责令停业的；</w:t>
      </w:r>
    </w:p>
    <w:p>
      <w:pPr>
        <w:spacing w:line="400" w:lineRule="exact"/>
        <w:ind w:firstLine="482"/>
        <w:rPr>
          <w:color w:val="000000"/>
        </w:rPr>
      </w:pPr>
      <w:r>
        <w:rPr>
          <w:rFonts w:hint="eastAsia"/>
          <w:color w:val="000000"/>
        </w:rPr>
        <w:t>（4）被暂停或取消投标资格且处于有效期内的；</w:t>
      </w:r>
    </w:p>
    <w:p>
      <w:pPr>
        <w:spacing w:line="400" w:lineRule="exact"/>
        <w:ind w:firstLine="482"/>
        <w:rPr>
          <w:color w:val="000000"/>
        </w:rPr>
      </w:pPr>
      <w:r>
        <w:rPr>
          <w:rFonts w:hint="eastAsia"/>
          <w:color w:val="000000"/>
        </w:rPr>
        <w:t>（5）财产被接管或冻结的；</w:t>
      </w:r>
    </w:p>
    <w:p>
      <w:pPr>
        <w:spacing w:line="400" w:lineRule="exact"/>
        <w:ind w:firstLine="482"/>
        <w:rPr>
          <w:color w:val="000000"/>
        </w:rPr>
      </w:pPr>
      <w:r>
        <w:rPr>
          <w:rFonts w:hint="eastAsia"/>
          <w:color w:val="000000"/>
        </w:rPr>
        <w:t>1.2.3 投标人存在下列情形之一的，相关投标均无效：</w:t>
      </w:r>
    </w:p>
    <w:p>
      <w:pPr>
        <w:spacing w:line="400" w:lineRule="exact"/>
        <w:ind w:firstLine="482"/>
        <w:rPr>
          <w:color w:val="000000"/>
        </w:rPr>
      </w:pPr>
      <w:r>
        <w:rPr>
          <w:rFonts w:hint="eastAsia"/>
          <w:color w:val="000000"/>
        </w:rPr>
        <w:t>（1）与招标人存在利害关系影响招标公正性的；</w:t>
      </w:r>
    </w:p>
    <w:p>
      <w:pPr>
        <w:spacing w:line="400" w:lineRule="exact"/>
        <w:ind w:firstLine="482"/>
        <w:rPr>
          <w:color w:val="000000"/>
        </w:rPr>
      </w:pPr>
      <w:r>
        <w:rPr>
          <w:rFonts w:hint="eastAsia"/>
          <w:color w:val="000000"/>
        </w:rPr>
        <w:t>（2）法定代表人为同一人或者存在控股、管理关系的不同单位，参加同一标段投标的，共同组成联合体投标的除外。</w:t>
      </w:r>
    </w:p>
    <w:p>
      <w:pPr>
        <w:pStyle w:val="4"/>
        <w:keepNext w:val="0"/>
        <w:keepLines w:val="0"/>
        <w:jc w:val="both"/>
        <w:rPr>
          <w:color w:val="000000"/>
        </w:rPr>
      </w:pPr>
      <w:r>
        <w:rPr>
          <w:rFonts w:hint="eastAsia"/>
          <w:color w:val="000000"/>
        </w:rPr>
        <w:t>1.3费用承担</w:t>
      </w:r>
    </w:p>
    <w:p>
      <w:pPr>
        <w:spacing w:line="400" w:lineRule="exact"/>
        <w:ind w:firstLine="482"/>
        <w:rPr>
          <w:color w:val="000000"/>
        </w:rPr>
      </w:pPr>
      <w:r>
        <w:rPr>
          <w:rFonts w:hint="eastAsia"/>
          <w:color w:val="000000"/>
        </w:rPr>
        <w:t>投标人准备和参加投标活动发生的费用自理。</w:t>
      </w:r>
    </w:p>
    <w:p>
      <w:pPr>
        <w:pStyle w:val="4"/>
        <w:keepNext w:val="0"/>
        <w:keepLines w:val="0"/>
        <w:jc w:val="both"/>
        <w:rPr>
          <w:color w:val="000000"/>
        </w:rPr>
      </w:pPr>
      <w:r>
        <w:rPr>
          <w:rFonts w:hint="eastAsia"/>
          <w:color w:val="000000"/>
        </w:rPr>
        <w:t>1.4保密</w:t>
      </w:r>
    </w:p>
    <w:p>
      <w:pPr>
        <w:spacing w:line="400" w:lineRule="exact"/>
        <w:ind w:firstLine="482"/>
        <w:rPr>
          <w:color w:val="000000"/>
        </w:rPr>
      </w:pPr>
      <w:r>
        <w:rPr>
          <w:rFonts w:hint="eastAsia"/>
          <w:color w:val="000000"/>
        </w:rPr>
        <w:t xml:space="preserve">参与招标投标活动的各方应对招标文件和投标文件中的商业和技术等秘密保密，违者应对由此造成的后果承担法律责任。 </w:t>
      </w:r>
    </w:p>
    <w:p>
      <w:pPr>
        <w:pStyle w:val="4"/>
        <w:keepNext w:val="0"/>
        <w:keepLines w:val="0"/>
        <w:jc w:val="both"/>
        <w:rPr>
          <w:color w:val="000000"/>
        </w:rPr>
      </w:pPr>
      <w:r>
        <w:rPr>
          <w:rFonts w:hint="eastAsia"/>
          <w:color w:val="000000"/>
        </w:rPr>
        <w:t>1.5 语言文字</w:t>
      </w:r>
    </w:p>
    <w:p>
      <w:pPr>
        <w:spacing w:line="400" w:lineRule="exact"/>
        <w:ind w:firstLine="482"/>
        <w:rPr>
          <w:color w:val="000000"/>
        </w:rPr>
      </w:pPr>
      <w:r>
        <w:rPr>
          <w:rFonts w:hint="eastAsia"/>
          <w:color w:val="000000"/>
        </w:rPr>
        <w:t>除专用术语外，与招标投标有关的语言均使用中文。必要时专用术语应附有中文注释。</w:t>
      </w:r>
    </w:p>
    <w:p>
      <w:pPr>
        <w:pStyle w:val="4"/>
        <w:keepNext w:val="0"/>
        <w:keepLines w:val="0"/>
        <w:jc w:val="both"/>
        <w:rPr>
          <w:color w:val="000000"/>
        </w:rPr>
      </w:pPr>
      <w:r>
        <w:rPr>
          <w:rFonts w:hint="eastAsia"/>
          <w:color w:val="000000"/>
        </w:rPr>
        <w:t>1.6计量单位</w:t>
      </w:r>
    </w:p>
    <w:p>
      <w:pPr>
        <w:spacing w:line="400" w:lineRule="exact"/>
        <w:ind w:firstLine="482"/>
        <w:rPr>
          <w:color w:val="000000"/>
        </w:rPr>
      </w:pPr>
      <w:r>
        <w:rPr>
          <w:rFonts w:hint="eastAsia"/>
          <w:color w:val="000000"/>
        </w:rPr>
        <w:t>所有计量均采用中华人民共和国法定计量单位。</w:t>
      </w:r>
    </w:p>
    <w:p>
      <w:pPr>
        <w:pStyle w:val="4"/>
        <w:keepNext w:val="0"/>
        <w:keepLines w:val="0"/>
        <w:jc w:val="both"/>
        <w:rPr>
          <w:color w:val="000000"/>
        </w:rPr>
      </w:pPr>
      <w:r>
        <w:rPr>
          <w:rFonts w:hint="eastAsia"/>
          <w:color w:val="000000"/>
        </w:rPr>
        <w:t>1.7踏勘现场</w:t>
      </w:r>
    </w:p>
    <w:p>
      <w:pPr>
        <w:spacing w:line="400" w:lineRule="exact"/>
        <w:ind w:firstLine="482"/>
        <w:rPr>
          <w:color w:val="000000"/>
        </w:rPr>
      </w:pPr>
      <w:r>
        <w:rPr>
          <w:rFonts w:hint="eastAsia"/>
          <w:color w:val="000000"/>
        </w:rPr>
        <w:t xml:space="preserve">1.7.1 投标人须知前附表规定组织踏勘现场的，招标人按投标人须知前附表规定的时间、地点组织投标人踏勘项目现场。 </w:t>
      </w:r>
    </w:p>
    <w:p>
      <w:pPr>
        <w:spacing w:line="400" w:lineRule="exact"/>
        <w:ind w:firstLine="482"/>
        <w:rPr>
          <w:color w:val="000000"/>
        </w:rPr>
      </w:pPr>
      <w:r>
        <w:rPr>
          <w:rFonts w:hint="eastAsia"/>
          <w:color w:val="000000"/>
        </w:rPr>
        <w:t>1.7.2 投标人踏勘现场发生的费用自理。</w:t>
      </w:r>
    </w:p>
    <w:p>
      <w:pPr>
        <w:spacing w:line="400" w:lineRule="exact"/>
        <w:ind w:firstLine="482"/>
        <w:rPr>
          <w:color w:val="000000"/>
        </w:rPr>
      </w:pPr>
      <w:r>
        <w:rPr>
          <w:rFonts w:hint="eastAsia"/>
          <w:color w:val="000000"/>
        </w:rPr>
        <w:t>1.7.3 除招标人的原因外，投标人自行负责在踏勘现场中所发生的人员伤亡和财产损失。</w:t>
      </w:r>
    </w:p>
    <w:p>
      <w:pPr>
        <w:spacing w:line="400" w:lineRule="exact"/>
        <w:ind w:firstLine="482"/>
        <w:rPr>
          <w:color w:val="000000"/>
        </w:rPr>
      </w:pPr>
      <w:r>
        <w:rPr>
          <w:rFonts w:hint="eastAsia"/>
          <w:color w:val="000000"/>
        </w:rPr>
        <w:t>1.7.4 招标人在踏勘现场中介绍的工程场地和相关的周边环境情况，供投标人在编制投标文件时参考，招标人不对投标人据此作出的判断和决策负责。</w:t>
      </w:r>
    </w:p>
    <w:p>
      <w:pPr>
        <w:pStyle w:val="4"/>
        <w:keepNext w:val="0"/>
        <w:keepLines w:val="0"/>
        <w:jc w:val="both"/>
        <w:rPr>
          <w:color w:val="000000"/>
        </w:rPr>
      </w:pPr>
      <w:r>
        <w:rPr>
          <w:rFonts w:hint="eastAsia"/>
          <w:color w:val="000000"/>
        </w:rPr>
        <w:t>1.8 投标预备会</w:t>
      </w:r>
    </w:p>
    <w:p>
      <w:pPr>
        <w:spacing w:line="400" w:lineRule="exact"/>
        <w:ind w:firstLine="482"/>
        <w:rPr>
          <w:color w:val="000000"/>
        </w:rPr>
      </w:pPr>
      <w:r>
        <w:rPr>
          <w:rFonts w:hint="eastAsia"/>
          <w:color w:val="000000"/>
        </w:rPr>
        <w:t>1.8.1 投标人须知前附表规定召开投标预备会的，招标人按照投标人须知前附表规定的时间和地点召开投标预备会，澄清投标人提出的问题。</w:t>
      </w:r>
    </w:p>
    <w:p>
      <w:pPr>
        <w:spacing w:line="400" w:lineRule="exact"/>
        <w:ind w:firstLine="482"/>
        <w:rPr>
          <w:color w:val="000000"/>
        </w:rPr>
      </w:pPr>
      <w:r>
        <w:rPr>
          <w:rFonts w:hint="eastAsia"/>
          <w:color w:val="000000"/>
        </w:rPr>
        <w:t>1.8.2 投标预备会后，招标人按投标人须知表2.2项规定的时间和方式发布澄清或修改文件。</w:t>
      </w:r>
    </w:p>
    <w:p>
      <w:pPr>
        <w:pStyle w:val="4"/>
        <w:keepNext w:val="0"/>
        <w:keepLines w:val="0"/>
        <w:jc w:val="both"/>
        <w:rPr>
          <w:color w:val="000000"/>
        </w:rPr>
      </w:pPr>
      <w:r>
        <w:rPr>
          <w:rFonts w:hint="eastAsia"/>
          <w:color w:val="000000"/>
        </w:rPr>
        <w:t>1.9分包</w:t>
      </w:r>
    </w:p>
    <w:p>
      <w:pPr>
        <w:spacing w:line="400" w:lineRule="exact"/>
        <w:ind w:firstLine="482"/>
        <w:rPr>
          <w:color w:val="000000"/>
        </w:rPr>
      </w:pPr>
      <w:r>
        <w:rPr>
          <w:rFonts w:hint="eastAsia"/>
          <w:color w:val="000000"/>
        </w:rPr>
        <w:t>在投标人须知前附表规定允许分包的，分包的内容，分包金额，接受分包的第三人资质要求见投标人须知前附表。具体条款详见合同“合同专用”条款。</w:t>
      </w:r>
    </w:p>
    <w:p>
      <w:pPr>
        <w:pStyle w:val="4"/>
        <w:keepNext w:val="0"/>
        <w:keepLines w:val="0"/>
        <w:jc w:val="both"/>
        <w:rPr>
          <w:color w:val="000000"/>
        </w:rPr>
      </w:pPr>
      <w:r>
        <w:rPr>
          <w:rFonts w:hint="eastAsia"/>
          <w:color w:val="000000"/>
        </w:rPr>
        <w:t>1.10 偏离</w:t>
      </w:r>
    </w:p>
    <w:p>
      <w:pPr>
        <w:spacing w:line="400" w:lineRule="exact"/>
        <w:ind w:firstLine="482"/>
        <w:rPr>
          <w:color w:val="000000"/>
        </w:rPr>
      </w:pPr>
      <w:r>
        <w:rPr>
          <w:rFonts w:hint="eastAsia"/>
          <w:color w:val="000000"/>
        </w:rPr>
        <w:t>投标人须知前附表允许投标文件偏离招标文件某些要求的，偏离应当符合招标文件规定的偏离范围和幅度。</w:t>
      </w:r>
    </w:p>
    <w:p>
      <w:pPr>
        <w:pStyle w:val="3"/>
        <w:jc w:val="both"/>
        <w:rPr>
          <w:color w:val="000000"/>
        </w:rPr>
      </w:pPr>
      <w:bookmarkStart w:id="29" w:name="_Toc522293507"/>
      <w:bookmarkStart w:id="30" w:name="_Toc18672560"/>
      <w:r>
        <w:rPr>
          <w:rFonts w:hint="eastAsia"/>
          <w:color w:val="000000"/>
        </w:rPr>
        <w:t>2. 招标文件</w:t>
      </w:r>
      <w:bookmarkEnd w:id="29"/>
      <w:bookmarkEnd w:id="30"/>
    </w:p>
    <w:p>
      <w:pPr>
        <w:pStyle w:val="4"/>
        <w:keepNext w:val="0"/>
        <w:keepLines w:val="0"/>
        <w:jc w:val="both"/>
        <w:rPr>
          <w:color w:val="000000"/>
        </w:rPr>
      </w:pPr>
      <w:r>
        <w:rPr>
          <w:rFonts w:hint="eastAsia"/>
          <w:color w:val="000000"/>
        </w:rPr>
        <w:t>2.1 招标文件的组成</w:t>
      </w:r>
    </w:p>
    <w:p>
      <w:pPr>
        <w:spacing w:line="400" w:lineRule="exact"/>
        <w:ind w:firstLine="482"/>
        <w:rPr>
          <w:color w:val="000000"/>
          <w:szCs w:val="21"/>
        </w:rPr>
      </w:pPr>
      <w:r>
        <w:rPr>
          <w:rFonts w:hint="eastAsia"/>
          <w:color w:val="000000"/>
          <w:szCs w:val="21"/>
        </w:rPr>
        <w:t xml:space="preserve">本招标文件包括： </w:t>
      </w:r>
    </w:p>
    <w:p>
      <w:pPr>
        <w:pStyle w:val="6"/>
        <w:spacing w:line="300" w:lineRule="auto"/>
        <w:ind w:firstLine="424" w:firstLineChars="202"/>
        <w:rPr>
          <w:rFonts w:ascii="宋体" w:hAnsi="宋体"/>
          <w:szCs w:val="21"/>
        </w:rPr>
      </w:pPr>
      <w:r>
        <w:rPr>
          <w:rFonts w:ascii="宋体" w:hAnsi="宋体"/>
          <w:szCs w:val="21"/>
        </w:rPr>
        <w:t>(1)招标公告；</w:t>
      </w:r>
    </w:p>
    <w:p>
      <w:pPr>
        <w:pStyle w:val="6"/>
        <w:spacing w:line="300" w:lineRule="auto"/>
        <w:ind w:firstLine="424" w:firstLineChars="202"/>
        <w:rPr>
          <w:rFonts w:ascii="宋体" w:hAnsi="宋体"/>
          <w:szCs w:val="21"/>
        </w:rPr>
      </w:pPr>
      <w:r>
        <w:rPr>
          <w:rFonts w:ascii="宋体" w:hAnsi="宋体"/>
          <w:szCs w:val="21"/>
        </w:rPr>
        <w:t>(2)投标人须知；</w:t>
      </w:r>
    </w:p>
    <w:p>
      <w:pPr>
        <w:pStyle w:val="6"/>
        <w:spacing w:line="300" w:lineRule="auto"/>
        <w:ind w:firstLine="424" w:firstLineChars="202"/>
        <w:rPr>
          <w:rFonts w:ascii="宋体" w:hAnsi="宋体"/>
          <w:szCs w:val="21"/>
        </w:rPr>
      </w:pPr>
      <w:r>
        <w:rPr>
          <w:rFonts w:ascii="宋体" w:hAnsi="宋体"/>
          <w:szCs w:val="21"/>
        </w:rPr>
        <w:t>(3)采购项目需求；</w:t>
      </w:r>
    </w:p>
    <w:p>
      <w:pPr>
        <w:pStyle w:val="6"/>
        <w:spacing w:line="300" w:lineRule="auto"/>
        <w:ind w:firstLine="424" w:firstLineChars="202"/>
        <w:rPr>
          <w:rFonts w:ascii="宋体" w:hAnsi="宋体"/>
          <w:szCs w:val="21"/>
        </w:rPr>
      </w:pPr>
      <w:r>
        <w:rPr>
          <w:rFonts w:ascii="宋体" w:hAnsi="宋体"/>
          <w:szCs w:val="21"/>
        </w:rPr>
        <w:t>(4)评标方法、步骤、标准；</w:t>
      </w:r>
    </w:p>
    <w:p>
      <w:pPr>
        <w:pStyle w:val="6"/>
        <w:spacing w:line="300" w:lineRule="auto"/>
        <w:ind w:firstLine="424" w:firstLineChars="202"/>
        <w:rPr>
          <w:rFonts w:ascii="宋体" w:hAnsi="宋体"/>
          <w:szCs w:val="21"/>
        </w:rPr>
      </w:pPr>
      <w:r>
        <w:rPr>
          <w:rFonts w:ascii="宋体" w:hAnsi="宋体"/>
          <w:szCs w:val="21"/>
        </w:rPr>
        <w:t>(5)合同格式及合同条款；</w:t>
      </w:r>
    </w:p>
    <w:p>
      <w:pPr>
        <w:pStyle w:val="6"/>
        <w:spacing w:line="300" w:lineRule="auto"/>
        <w:ind w:firstLine="424" w:firstLineChars="202"/>
        <w:rPr>
          <w:rFonts w:ascii="宋体" w:hAnsi="宋体"/>
          <w:szCs w:val="21"/>
        </w:rPr>
      </w:pPr>
      <w:r>
        <w:rPr>
          <w:rFonts w:ascii="宋体" w:hAnsi="宋体"/>
          <w:szCs w:val="21"/>
        </w:rPr>
        <w:t>(6)投标文件格式；</w:t>
      </w:r>
    </w:p>
    <w:p>
      <w:pPr>
        <w:pStyle w:val="6"/>
        <w:spacing w:line="300" w:lineRule="auto"/>
        <w:ind w:firstLine="424" w:firstLineChars="202"/>
        <w:rPr>
          <w:rFonts w:ascii="宋体" w:hAnsi="宋体"/>
          <w:sz w:val="24"/>
          <w:szCs w:val="24"/>
        </w:rPr>
      </w:pPr>
      <w:r>
        <w:rPr>
          <w:rFonts w:ascii="宋体" w:hAnsi="宋体"/>
          <w:szCs w:val="21"/>
        </w:rPr>
        <w:t>(7)在招标过程中由招标采购单位发出的澄清和补充文件等。</w:t>
      </w:r>
    </w:p>
    <w:p>
      <w:pPr>
        <w:pStyle w:val="4"/>
        <w:keepNext w:val="0"/>
        <w:keepLines w:val="0"/>
        <w:jc w:val="both"/>
        <w:rPr>
          <w:color w:val="000000"/>
        </w:rPr>
      </w:pPr>
      <w:r>
        <w:rPr>
          <w:rFonts w:hint="eastAsia"/>
          <w:color w:val="000000"/>
        </w:rPr>
        <w:t>2.2</w:t>
      </w:r>
      <w:r>
        <w:rPr>
          <w:color w:val="000000"/>
        </w:rPr>
        <w:t xml:space="preserve"> </w:t>
      </w:r>
      <w:r>
        <w:rPr>
          <w:rFonts w:hint="eastAsia"/>
          <w:color w:val="000000"/>
        </w:rPr>
        <w:t>招标文件的澄清和修改</w:t>
      </w:r>
    </w:p>
    <w:p>
      <w:pPr>
        <w:spacing w:line="400" w:lineRule="exact"/>
        <w:ind w:firstLine="482"/>
        <w:rPr>
          <w:color w:val="000000"/>
        </w:rPr>
      </w:pPr>
      <w:r>
        <w:rPr>
          <w:rFonts w:hint="eastAsia"/>
          <w:color w:val="000000"/>
        </w:rPr>
        <w:t>2.2.1 投标人应仔细阅读和检查招标文件的全部内容。如有疑问，应在申请人须知前附表第2.2项规定的提问截止时间前提问，要求招标机构对招标文件予以澄清。</w:t>
      </w:r>
    </w:p>
    <w:p>
      <w:pPr>
        <w:spacing w:line="400" w:lineRule="exact"/>
        <w:ind w:firstLine="482"/>
        <w:rPr>
          <w:color w:val="000000"/>
        </w:rPr>
      </w:pPr>
      <w:r>
        <w:rPr>
          <w:rFonts w:hint="eastAsia"/>
          <w:color w:val="000000"/>
        </w:rPr>
        <w:t>2.2.2 无论是招标机构根据需要主动对招标文件进行必要的澄清或修改，或是根据投标人的要求对招标文件做出澄清或修改，澄清或修改的内容可能影响投标文件编制的，招标机构应于投标人须知表4.2.1项规定的投标截止时间3日前发布。</w:t>
      </w:r>
    </w:p>
    <w:p>
      <w:pPr>
        <w:spacing w:line="400" w:lineRule="exact"/>
        <w:ind w:firstLine="482"/>
        <w:rPr>
          <w:color w:val="000000"/>
        </w:rPr>
      </w:pPr>
      <w:r>
        <w:rPr>
          <w:rFonts w:hint="eastAsia"/>
          <w:color w:val="000000"/>
        </w:rPr>
        <w:t>澄清或修改通知发出的时间距投标人须知前附表第4.2.1项规定的投标截止时间不足3日，并且澄清或修改的内容影响投标文件编制的，相应延长投标截止时间。</w:t>
      </w:r>
    </w:p>
    <w:p>
      <w:pPr>
        <w:spacing w:line="400" w:lineRule="exact"/>
        <w:ind w:firstLine="482"/>
        <w:rPr>
          <w:color w:val="000000"/>
        </w:rPr>
      </w:pPr>
      <w:r>
        <w:rPr>
          <w:rFonts w:hint="eastAsia"/>
          <w:color w:val="000000"/>
        </w:rPr>
        <w:t>2.2.3 澄清或修改文件作为招标文件的组成部分，对投标人起同等约束作用。投标人应注意及时浏览项目发布的澄清和修改通知，因投标人原因未及时获知澄清、修改内容而导致的任何后果将由投标人自行承担。</w:t>
      </w:r>
    </w:p>
    <w:p>
      <w:pPr>
        <w:spacing w:line="400" w:lineRule="exact"/>
        <w:ind w:firstLine="482"/>
        <w:rPr>
          <w:color w:val="000000"/>
        </w:rPr>
      </w:pPr>
      <w:r>
        <w:rPr>
          <w:rFonts w:hint="eastAsia"/>
          <w:color w:val="000000"/>
        </w:rPr>
        <w:t>2.2.4 任何口头上的澄清、修改一律视为无效。当招标文件、澄清或修改内容相互矛盾时，以最后发出的文件为准。</w:t>
      </w:r>
    </w:p>
    <w:p>
      <w:pPr>
        <w:pStyle w:val="4"/>
        <w:keepNext w:val="0"/>
        <w:keepLines w:val="0"/>
        <w:jc w:val="both"/>
        <w:rPr>
          <w:color w:val="000000"/>
        </w:rPr>
      </w:pPr>
      <w:r>
        <w:rPr>
          <w:rFonts w:hint="eastAsia"/>
          <w:color w:val="000000"/>
        </w:rPr>
        <w:t>2.3</w:t>
      </w:r>
      <w:r>
        <w:rPr>
          <w:color w:val="000000"/>
        </w:rPr>
        <w:t xml:space="preserve"> </w:t>
      </w:r>
      <w:r>
        <w:rPr>
          <w:rFonts w:hint="eastAsia"/>
          <w:color w:val="000000"/>
        </w:rPr>
        <w:t>对招标文件的异议</w:t>
      </w:r>
    </w:p>
    <w:p>
      <w:pPr>
        <w:spacing w:line="400" w:lineRule="exact"/>
        <w:ind w:firstLine="482"/>
        <w:rPr>
          <w:color w:val="000000"/>
        </w:rPr>
      </w:pPr>
      <w:bookmarkStart w:id="31" w:name="EB637a2fd476d041a5b3c9c6ab288b697a"/>
      <w:r>
        <w:rPr>
          <w:rFonts w:hint="eastAsia"/>
          <w:color w:val="000000"/>
        </w:rPr>
        <w:t>2.3.1 投标人或者其他利害关系人对招标文件（包括对招标文件澄清和修改的内容）有异议的，应当在投标人须知前附表4.2.1项规定的投标截止时间6日前提出。招标人自收到异议之日起3日内作出答复；作出答复前，招标人将暂停招标投标活动。逾期提出的，招标人可不予受理。</w:t>
      </w:r>
    </w:p>
    <w:p>
      <w:pPr>
        <w:spacing w:line="400" w:lineRule="exact"/>
        <w:ind w:firstLine="482"/>
        <w:rPr>
          <w:color w:val="000000"/>
        </w:rPr>
      </w:pPr>
      <w:r>
        <w:rPr>
          <w:rFonts w:hint="eastAsia"/>
          <w:color w:val="000000"/>
        </w:rPr>
        <w:t>本处所称异议是指投标人或者其他利害关系人认为招标文件的内容违反法律、法规、规章的强制性规定，违反公开、公平、公正和诚实信用原则，影响投标人投标而向招标人提出的异议。</w:t>
      </w:r>
    </w:p>
    <w:p>
      <w:pPr>
        <w:spacing w:line="400" w:lineRule="exact"/>
        <w:ind w:firstLine="482"/>
        <w:rPr>
          <w:color w:val="000000"/>
        </w:rPr>
      </w:pPr>
      <w:r>
        <w:rPr>
          <w:rFonts w:hint="eastAsia"/>
          <w:color w:val="000000"/>
        </w:rPr>
        <w:t>2.3.2 招标人对异议的答复构成对招标文件澄清或者修改的，招标机构将按照本章第2.2款规定办理。</w:t>
      </w:r>
    </w:p>
    <w:bookmarkEnd w:id="31"/>
    <w:p>
      <w:pPr>
        <w:pStyle w:val="3"/>
        <w:jc w:val="both"/>
        <w:rPr>
          <w:color w:val="000000"/>
        </w:rPr>
      </w:pPr>
      <w:bookmarkStart w:id="32" w:name="_Toc18672561"/>
      <w:bookmarkStart w:id="33" w:name="_Toc522293508"/>
      <w:r>
        <w:rPr>
          <w:rFonts w:hint="eastAsia"/>
          <w:color w:val="000000"/>
        </w:rPr>
        <w:t>3. 投标文件</w:t>
      </w:r>
      <w:bookmarkEnd w:id="32"/>
      <w:bookmarkEnd w:id="33"/>
    </w:p>
    <w:p>
      <w:pPr>
        <w:pStyle w:val="4"/>
        <w:keepNext w:val="0"/>
        <w:keepLines w:val="0"/>
        <w:jc w:val="both"/>
        <w:rPr>
          <w:color w:val="000000"/>
        </w:rPr>
      </w:pPr>
      <w:r>
        <w:rPr>
          <w:rFonts w:hint="eastAsia"/>
          <w:color w:val="000000"/>
        </w:rPr>
        <w:t>3.1 投标文件的组成</w:t>
      </w:r>
    </w:p>
    <w:p>
      <w:pPr>
        <w:spacing w:line="400" w:lineRule="exact"/>
        <w:ind w:firstLine="482"/>
        <w:rPr>
          <w:color w:val="000000"/>
        </w:rPr>
      </w:pPr>
      <w:r>
        <w:rPr>
          <w:rFonts w:hint="eastAsia"/>
          <w:color w:val="000000"/>
        </w:rPr>
        <w:t>3.1.1 投标文件应包括下列内容：</w:t>
      </w:r>
    </w:p>
    <w:p>
      <w:pPr>
        <w:pStyle w:val="6"/>
        <w:spacing w:line="300" w:lineRule="auto"/>
        <w:ind w:firstLine="424" w:firstLineChars="202"/>
        <w:rPr>
          <w:rFonts w:ascii="宋体" w:hAnsi="宋体"/>
          <w:szCs w:val="21"/>
        </w:rPr>
      </w:pPr>
      <w:r>
        <w:rPr>
          <w:rFonts w:hint="eastAsia" w:ascii="宋体" w:hAnsi="宋体"/>
          <w:szCs w:val="21"/>
        </w:rPr>
        <w:t>（</w:t>
      </w:r>
      <w:r>
        <w:rPr>
          <w:rFonts w:ascii="宋体" w:hAnsi="宋体"/>
          <w:szCs w:val="21"/>
        </w:rPr>
        <w:t>1)</w:t>
      </w:r>
      <w:r>
        <w:rPr>
          <w:rFonts w:hint="eastAsia" w:ascii="宋体" w:hAnsi="宋体"/>
          <w:spacing w:val="-6"/>
          <w:szCs w:val="21"/>
        </w:rPr>
        <w:t>商务</w:t>
      </w:r>
      <w:r>
        <w:rPr>
          <w:rFonts w:hint="eastAsia" w:ascii="宋体" w:hAnsi="宋体"/>
          <w:szCs w:val="21"/>
        </w:rPr>
        <w:t>文件内容（详见第六章商务文件组成）</w:t>
      </w:r>
    </w:p>
    <w:p>
      <w:pPr>
        <w:pStyle w:val="6"/>
        <w:spacing w:line="300" w:lineRule="auto"/>
        <w:ind w:firstLine="424" w:firstLineChars="202"/>
        <w:rPr>
          <w:rFonts w:ascii="宋体" w:hAnsi="宋体"/>
          <w:szCs w:val="21"/>
        </w:rPr>
      </w:pPr>
      <w:r>
        <w:rPr>
          <w:rFonts w:hint="eastAsia" w:ascii="宋体" w:hAnsi="宋体"/>
          <w:szCs w:val="21"/>
        </w:rPr>
        <w:t>（</w:t>
      </w:r>
      <w:r>
        <w:rPr>
          <w:rFonts w:ascii="宋体" w:hAnsi="宋体"/>
          <w:szCs w:val="21"/>
        </w:rPr>
        <w:t>2)技术文件内容（详见第六章技术文件组成）</w:t>
      </w:r>
    </w:p>
    <w:p>
      <w:pPr>
        <w:pStyle w:val="4"/>
        <w:keepNext w:val="0"/>
        <w:keepLines w:val="0"/>
        <w:ind w:firstLine="480" w:firstLineChars="200"/>
        <w:jc w:val="both"/>
        <w:rPr>
          <w:b w:val="0"/>
          <w:bCs w:val="0"/>
        </w:rPr>
      </w:pPr>
      <w:r>
        <w:rPr>
          <w:b w:val="0"/>
          <w:bCs w:val="0"/>
        </w:rPr>
        <w:t>其中</w:t>
      </w:r>
      <w:r>
        <w:rPr>
          <w:rFonts w:hint="eastAsia"/>
          <w:b w:val="0"/>
          <w:bCs w:val="0"/>
        </w:rPr>
        <w:t>（</w:t>
      </w:r>
      <w:r>
        <w:rPr>
          <w:b w:val="0"/>
          <w:bCs w:val="0"/>
        </w:rPr>
        <w:t>1）和（2）可装订成1</w:t>
      </w:r>
      <w:r>
        <w:rPr>
          <w:rFonts w:hint="eastAsia"/>
          <w:b w:val="0"/>
          <w:bCs w:val="0"/>
        </w:rPr>
        <w:t>本投标文件。</w:t>
      </w:r>
    </w:p>
    <w:p>
      <w:pPr>
        <w:pStyle w:val="4"/>
        <w:keepNext w:val="0"/>
        <w:keepLines w:val="0"/>
        <w:jc w:val="both"/>
        <w:rPr>
          <w:color w:val="000000"/>
        </w:rPr>
      </w:pPr>
      <w:r>
        <w:rPr>
          <w:rFonts w:hint="eastAsia"/>
          <w:color w:val="000000"/>
        </w:rPr>
        <w:t>3.2 投标报价</w:t>
      </w:r>
    </w:p>
    <w:p>
      <w:pPr>
        <w:pStyle w:val="6"/>
        <w:spacing w:line="300" w:lineRule="auto"/>
        <w:ind w:firstLine="424" w:firstLineChars="202"/>
        <w:rPr>
          <w:rFonts w:ascii="宋体" w:hAnsi="宋体"/>
          <w:kern w:val="0"/>
          <w:szCs w:val="21"/>
        </w:rPr>
      </w:pPr>
      <w:r>
        <w:rPr>
          <w:rFonts w:hint="eastAsia" w:ascii="宋体" w:hAnsi="宋体"/>
          <w:kern w:val="0"/>
          <w:szCs w:val="21"/>
        </w:rPr>
        <w:t>3</w:t>
      </w:r>
      <w:r>
        <w:rPr>
          <w:rFonts w:ascii="宋体" w:hAnsi="宋体"/>
          <w:kern w:val="0"/>
          <w:szCs w:val="21"/>
        </w:rPr>
        <w:t>.</w:t>
      </w:r>
      <w:r>
        <w:rPr>
          <w:rFonts w:hint="eastAsia" w:ascii="宋体" w:hAnsi="宋体"/>
          <w:kern w:val="0"/>
          <w:szCs w:val="21"/>
        </w:rPr>
        <w:t>2.1投标人所提供的货物和服务均以人民币报价。</w:t>
      </w:r>
    </w:p>
    <w:p>
      <w:pPr>
        <w:pStyle w:val="6"/>
        <w:spacing w:line="300" w:lineRule="auto"/>
        <w:ind w:firstLine="424" w:firstLineChars="202"/>
        <w:rPr>
          <w:rFonts w:ascii="宋体" w:hAnsi="宋体"/>
          <w:kern w:val="0"/>
          <w:szCs w:val="21"/>
        </w:rPr>
      </w:pPr>
      <w:r>
        <w:rPr>
          <w:rFonts w:hint="eastAsia" w:ascii="宋体" w:hAnsi="宋体"/>
          <w:kern w:val="0"/>
          <w:szCs w:val="21"/>
        </w:rPr>
        <w:t>3.2.2</w:t>
      </w:r>
      <w:r>
        <w:rPr>
          <w:rFonts w:ascii="宋体" w:hAnsi="宋体"/>
          <w:kern w:val="0"/>
          <w:szCs w:val="21"/>
        </w:rPr>
        <w:t xml:space="preserve"> </w:t>
      </w:r>
      <w:r>
        <w:rPr>
          <w:rFonts w:hint="eastAsia" w:ascii="宋体" w:hAnsi="宋体"/>
          <w:kern w:val="0"/>
          <w:szCs w:val="21"/>
        </w:rPr>
        <w:t>投标人应按照“第三章</w:t>
      </w:r>
      <w:r>
        <w:rPr>
          <w:rFonts w:ascii="宋体" w:hAnsi="宋体"/>
          <w:kern w:val="0"/>
          <w:szCs w:val="21"/>
        </w:rPr>
        <w:t xml:space="preserve"> </w:t>
      </w:r>
      <w:r>
        <w:rPr>
          <w:rFonts w:hint="eastAsia" w:ascii="宋体" w:hAnsi="宋体"/>
          <w:kern w:val="0"/>
          <w:szCs w:val="21"/>
        </w:rPr>
        <w:t>采购需求”规定的货物、服务内容、责任范围以及合同条款进行报价。并按《开标一览表》和《投标报价明细表》确定的格式报出分项价格和总价。投标总价应为优惠后的最终报价，任何报价上的优惠应体现在各分项报价中，国家规定的各项税费不得优惠。投标总价中不得包含招标文件要求以外的内容，否则，在评标时不予核减。投标总价中也不得缺漏招标文件所要求的内容，否则，在评标时将被视为已包含在投标总价中。</w:t>
      </w:r>
    </w:p>
    <w:p>
      <w:pPr>
        <w:pStyle w:val="6"/>
        <w:spacing w:line="300" w:lineRule="auto"/>
        <w:ind w:firstLine="424" w:firstLineChars="202"/>
        <w:rPr>
          <w:rFonts w:ascii="宋体" w:hAnsi="宋体"/>
          <w:kern w:val="0"/>
          <w:szCs w:val="21"/>
        </w:rPr>
      </w:pPr>
      <w:r>
        <w:rPr>
          <w:rFonts w:hint="eastAsia" w:ascii="宋体" w:hAnsi="宋体"/>
          <w:kern w:val="0"/>
          <w:szCs w:val="21"/>
        </w:rPr>
        <w:t>3.2.3</w:t>
      </w:r>
      <w:r>
        <w:rPr>
          <w:rFonts w:ascii="宋体" w:hAnsi="宋体"/>
          <w:kern w:val="0"/>
          <w:szCs w:val="21"/>
        </w:rPr>
        <w:t>《投标报价明细表》填写时应响应下列要求：</w:t>
      </w:r>
    </w:p>
    <w:p>
      <w:pPr>
        <w:pStyle w:val="6"/>
        <w:spacing w:line="300" w:lineRule="auto"/>
        <w:ind w:firstLine="424" w:firstLineChars="202"/>
        <w:rPr>
          <w:rFonts w:ascii="宋体" w:hAnsi="宋体"/>
          <w:kern w:val="0"/>
          <w:szCs w:val="21"/>
        </w:rPr>
      </w:pPr>
      <w:r>
        <w:rPr>
          <w:rFonts w:hint="eastAsia" w:ascii="宋体" w:hAnsi="宋体"/>
          <w:kern w:val="0"/>
          <w:szCs w:val="21"/>
        </w:rPr>
        <w:t>（</w:t>
      </w:r>
      <w:r>
        <w:rPr>
          <w:rFonts w:ascii="宋体" w:hAnsi="宋体"/>
          <w:kern w:val="0"/>
          <w:szCs w:val="21"/>
        </w:rPr>
        <w:t>1）对于报价免费的项目应标明“免费”；</w:t>
      </w:r>
    </w:p>
    <w:p>
      <w:pPr>
        <w:pStyle w:val="6"/>
        <w:spacing w:line="300" w:lineRule="auto"/>
        <w:ind w:firstLine="424" w:firstLineChars="202"/>
        <w:rPr>
          <w:rFonts w:ascii="宋体" w:hAnsi="宋体"/>
          <w:kern w:val="0"/>
          <w:szCs w:val="21"/>
        </w:rPr>
      </w:pPr>
      <w:r>
        <w:rPr>
          <w:rFonts w:hint="eastAsia" w:ascii="宋体" w:hAnsi="宋体"/>
          <w:kern w:val="0"/>
          <w:szCs w:val="21"/>
        </w:rPr>
        <w:t>（</w:t>
      </w:r>
      <w:r>
        <w:rPr>
          <w:rFonts w:ascii="宋体" w:hAnsi="宋体"/>
          <w:kern w:val="0"/>
          <w:szCs w:val="21"/>
        </w:rPr>
        <w:t>2）所有根据合同或其它原因应由投标人支付的税款和其它应交纳的费用都要包括在投标人提交的投标价格中；</w:t>
      </w:r>
    </w:p>
    <w:p>
      <w:pPr>
        <w:pStyle w:val="6"/>
        <w:spacing w:line="300" w:lineRule="auto"/>
        <w:ind w:firstLine="424" w:firstLineChars="202"/>
        <w:rPr>
          <w:rFonts w:ascii="宋体" w:hAnsi="宋体"/>
          <w:kern w:val="0"/>
          <w:szCs w:val="21"/>
        </w:rPr>
      </w:pPr>
      <w:r>
        <w:rPr>
          <w:rFonts w:hint="eastAsia" w:ascii="宋体" w:hAnsi="宋体"/>
          <w:kern w:val="0"/>
          <w:szCs w:val="21"/>
        </w:rPr>
        <w:t>（</w:t>
      </w:r>
      <w:r>
        <w:rPr>
          <w:rFonts w:ascii="宋体" w:hAnsi="宋体"/>
          <w:kern w:val="0"/>
          <w:szCs w:val="21"/>
        </w:rPr>
        <w:t>3）应包含货物运至最终目的地的运输、保险和伴随货物服务的有关费用。</w:t>
      </w:r>
    </w:p>
    <w:p>
      <w:pPr>
        <w:pStyle w:val="6"/>
        <w:spacing w:line="300" w:lineRule="auto"/>
        <w:ind w:firstLine="424" w:firstLineChars="202"/>
        <w:rPr>
          <w:rFonts w:ascii="宋体" w:hAnsi="宋体"/>
          <w:kern w:val="0"/>
          <w:szCs w:val="21"/>
        </w:rPr>
      </w:pPr>
      <w:r>
        <w:rPr>
          <w:rFonts w:hint="eastAsia" w:ascii="宋体" w:hAnsi="宋体"/>
          <w:kern w:val="0"/>
          <w:szCs w:val="21"/>
        </w:rPr>
        <w:t>3.2.4</w:t>
      </w:r>
      <w:r>
        <w:rPr>
          <w:rFonts w:ascii="宋体" w:hAnsi="宋体"/>
          <w:kern w:val="0"/>
          <w:szCs w:val="21"/>
        </w:rPr>
        <w:t xml:space="preserve"> </w:t>
      </w:r>
      <w:r>
        <w:rPr>
          <w:rFonts w:hint="eastAsia" w:ascii="宋体" w:hAnsi="宋体"/>
          <w:kern w:val="0"/>
          <w:szCs w:val="21"/>
        </w:rPr>
        <w:t>每一种规格的货物、服务只允许有一个报价，否则将被视为无效投标。</w:t>
      </w:r>
    </w:p>
    <w:p>
      <w:pPr>
        <w:pStyle w:val="6"/>
        <w:spacing w:line="300" w:lineRule="auto"/>
        <w:ind w:firstLine="424" w:firstLineChars="202"/>
        <w:rPr>
          <w:rFonts w:ascii="宋体" w:hAnsi="宋体"/>
          <w:kern w:val="0"/>
          <w:szCs w:val="21"/>
        </w:rPr>
      </w:pPr>
      <w:r>
        <w:rPr>
          <w:rFonts w:hint="eastAsia" w:ascii="宋体" w:hAnsi="宋体"/>
          <w:kern w:val="0"/>
          <w:szCs w:val="21"/>
        </w:rPr>
        <w:t>3.2.5</w:t>
      </w:r>
      <w:r>
        <w:rPr>
          <w:rFonts w:ascii="宋体" w:hAnsi="宋体"/>
          <w:kern w:val="0"/>
          <w:szCs w:val="21"/>
        </w:rPr>
        <w:t>投标人所报的投标价在合同执行过程中是固定不变的，不得以任何理由予以变更。</w:t>
      </w:r>
    </w:p>
    <w:p>
      <w:pPr>
        <w:pStyle w:val="6"/>
        <w:spacing w:line="300" w:lineRule="auto"/>
        <w:ind w:firstLine="424" w:firstLineChars="202"/>
        <w:rPr>
          <w:rFonts w:ascii="宋体" w:hAnsi="宋体"/>
          <w:kern w:val="0"/>
          <w:szCs w:val="21"/>
        </w:rPr>
      </w:pPr>
      <w:r>
        <w:rPr>
          <w:rFonts w:hint="eastAsia" w:ascii="宋体" w:hAnsi="宋体"/>
          <w:kern w:val="0"/>
          <w:szCs w:val="21"/>
        </w:rPr>
        <w:t>3.2.6</w:t>
      </w:r>
      <w:r>
        <w:rPr>
          <w:rFonts w:ascii="宋体" w:hAnsi="宋体"/>
          <w:kern w:val="0"/>
          <w:szCs w:val="21"/>
        </w:rPr>
        <w:t>投标人的投标报价超过项目采购预算的为无效投标。</w:t>
      </w:r>
    </w:p>
    <w:p>
      <w:pPr>
        <w:pStyle w:val="4"/>
        <w:keepNext w:val="0"/>
        <w:keepLines w:val="0"/>
        <w:jc w:val="both"/>
        <w:rPr>
          <w:color w:val="000000"/>
        </w:rPr>
      </w:pPr>
      <w:r>
        <w:rPr>
          <w:rFonts w:hint="eastAsia"/>
          <w:color w:val="000000"/>
        </w:rPr>
        <w:t>3.3 投标有效期</w:t>
      </w:r>
    </w:p>
    <w:p>
      <w:pPr>
        <w:spacing w:line="400" w:lineRule="exact"/>
        <w:ind w:firstLine="482"/>
        <w:rPr>
          <w:color w:val="000000"/>
        </w:rPr>
      </w:pPr>
      <w:r>
        <w:rPr>
          <w:rFonts w:hint="eastAsia"/>
          <w:color w:val="000000"/>
        </w:rPr>
        <w:t>3.3.1 在投标人须知前附表规定的投标有效期内，投标人不得要求撤销或修改其投标文件。</w:t>
      </w:r>
    </w:p>
    <w:p>
      <w:pPr>
        <w:spacing w:line="400" w:lineRule="exact"/>
        <w:ind w:firstLine="482"/>
        <w:rPr>
          <w:color w:val="000000"/>
        </w:rPr>
      </w:pPr>
      <w:r>
        <w:rPr>
          <w:rFonts w:hint="eastAsia"/>
          <w:color w:val="000000"/>
        </w:rPr>
        <w:t>3.3.2 出现特殊情况需要延长投标有效期的，招标人以微信或者邮箱形式通知所有投标人延长投标有效期。投标人同意延长的，应相应延长其投标保证金的有效期。</w:t>
      </w:r>
    </w:p>
    <w:p>
      <w:pPr>
        <w:pStyle w:val="4"/>
        <w:keepNext w:val="0"/>
        <w:keepLines w:val="0"/>
        <w:jc w:val="both"/>
        <w:rPr>
          <w:color w:val="000000"/>
        </w:rPr>
      </w:pPr>
      <w:r>
        <w:rPr>
          <w:rFonts w:hint="eastAsia"/>
          <w:color w:val="000000"/>
        </w:rPr>
        <w:t>3.4 投标保证金</w:t>
      </w:r>
    </w:p>
    <w:p>
      <w:pPr>
        <w:pStyle w:val="4"/>
        <w:keepNext w:val="0"/>
        <w:keepLines w:val="0"/>
        <w:jc w:val="both"/>
        <w:rPr>
          <w:b w:val="0"/>
          <w:bCs w:val="0"/>
          <w:sz w:val="21"/>
          <w:szCs w:val="21"/>
        </w:rPr>
      </w:pPr>
      <w:r>
        <w:rPr>
          <w:rFonts w:hint="eastAsia"/>
          <w:b w:val="0"/>
          <w:bCs w:val="0"/>
          <w:sz w:val="21"/>
          <w:szCs w:val="21"/>
        </w:rPr>
        <w:t>本项目不收取投标保证金。</w:t>
      </w:r>
    </w:p>
    <w:p>
      <w:pPr>
        <w:pStyle w:val="4"/>
        <w:keepNext w:val="0"/>
        <w:keepLines w:val="0"/>
        <w:jc w:val="both"/>
        <w:rPr>
          <w:color w:val="000000"/>
        </w:rPr>
      </w:pPr>
      <w:r>
        <w:rPr>
          <w:rFonts w:hint="eastAsia"/>
          <w:color w:val="000000"/>
        </w:rPr>
        <w:t>3.5 资格审查资料</w:t>
      </w:r>
    </w:p>
    <w:p>
      <w:pPr>
        <w:spacing w:line="400" w:lineRule="exact"/>
        <w:ind w:firstLine="482"/>
        <w:rPr>
          <w:color w:val="000000"/>
        </w:rPr>
      </w:pPr>
      <w:r>
        <w:rPr>
          <w:rFonts w:hint="eastAsia"/>
          <w:color w:val="000000"/>
        </w:rPr>
        <w:t>3.5.1 投标人应按招标文件第六章“投标文件格式”中规定的表格内容填写资格审查表，并按各资格审查表的具体要求提供相关证件及证明材料的复印件。</w:t>
      </w:r>
    </w:p>
    <w:p>
      <w:pPr>
        <w:pStyle w:val="4"/>
        <w:keepNext w:val="0"/>
        <w:keepLines w:val="0"/>
        <w:jc w:val="both"/>
        <w:rPr>
          <w:color w:val="000000"/>
        </w:rPr>
      </w:pPr>
      <w:r>
        <w:rPr>
          <w:rFonts w:hint="eastAsia"/>
          <w:color w:val="000000"/>
        </w:rPr>
        <w:t>3.6 备选投标方案</w:t>
      </w:r>
    </w:p>
    <w:p>
      <w:pPr>
        <w:spacing w:line="400" w:lineRule="exact"/>
        <w:ind w:firstLine="482"/>
        <w:rPr>
          <w:color w:val="000000"/>
        </w:rPr>
      </w:pPr>
      <w:r>
        <w:rPr>
          <w:rFonts w:hint="eastAsia"/>
          <w:color w:val="000000"/>
        </w:rPr>
        <w:t>除投标人须知前附表另有规定外，投标人不得递交备选投标方案。允许投标人递交备选投标方案的，只有中标人所递交的备选投标方案方可予以考虑。评标委员会认为中标候选人的备选投标方案优于其按照招标文件要求编制的投标方案的，该中标候选人被确定中标人后，招标人可以接受该备选投标方案。</w:t>
      </w:r>
    </w:p>
    <w:p>
      <w:pPr>
        <w:pStyle w:val="4"/>
        <w:keepNext w:val="0"/>
        <w:keepLines w:val="0"/>
        <w:jc w:val="both"/>
        <w:rPr>
          <w:color w:val="000000"/>
        </w:rPr>
      </w:pPr>
      <w:r>
        <w:rPr>
          <w:rFonts w:hint="eastAsia"/>
          <w:color w:val="000000"/>
        </w:rPr>
        <w:t>3.7 投标文件的编制</w:t>
      </w:r>
    </w:p>
    <w:p>
      <w:pPr>
        <w:spacing w:line="400" w:lineRule="exact"/>
        <w:ind w:firstLine="482"/>
        <w:rPr>
          <w:color w:val="000000"/>
        </w:rPr>
      </w:pPr>
      <w:r>
        <w:rPr>
          <w:rFonts w:hint="eastAsia"/>
          <w:color w:val="000000"/>
        </w:rPr>
        <w:t>3.7.1 投标文件应按第六章“投标文件格式”进行编写，如有必要，可以增加附页，作为投标文件的组成部分。其中，投标函附录在满足招标文件实质性要求的基础上，可以提出比招标文件要求更有利于招标人的承诺。</w:t>
      </w:r>
    </w:p>
    <w:p>
      <w:pPr>
        <w:spacing w:line="400" w:lineRule="exact"/>
        <w:ind w:firstLine="482"/>
        <w:rPr>
          <w:color w:val="000000"/>
        </w:rPr>
      </w:pPr>
      <w:r>
        <w:rPr>
          <w:rFonts w:hint="eastAsia"/>
          <w:color w:val="000000"/>
        </w:rPr>
        <w:t>3.7.2 投标文件应当对招标文件有关工期、投标有效期、质量要求、技术标准和要求、招标范围等实质性内容作出响应。</w:t>
      </w:r>
    </w:p>
    <w:p>
      <w:pPr>
        <w:spacing w:line="400" w:lineRule="exact"/>
        <w:ind w:firstLine="482"/>
        <w:rPr>
          <w:color w:val="000000"/>
        </w:rPr>
      </w:pPr>
      <w:r>
        <w:rPr>
          <w:rFonts w:hint="eastAsia"/>
          <w:color w:val="000000"/>
        </w:rPr>
        <w:t>3.7.3 纸质版投标文件</w:t>
      </w:r>
    </w:p>
    <w:p>
      <w:pPr>
        <w:spacing w:line="400" w:lineRule="exact"/>
        <w:ind w:firstLine="482"/>
        <w:rPr>
          <w:rFonts w:ascii="宋体" w:hAnsi="宋体"/>
          <w:color w:val="000000"/>
        </w:rPr>
      </w:pPr>
      <w:r>
        <w:rPr>
          <w:rFonts w:hint="eastAsia" w:ascii="宋体" w:hAnsi="宋体"/>
          <w:color w:val="000000"/>
        </w:rPr>
        <w:t>投标文件应用不褪色的材料书写或打印，并由投标人的法定代表人或其委托代理人签字或盖单位章。委托代理人签字的，投标文件应附法定代表人签署的授权委托书。投标文件应尽量避免涂改、行间插字或删除。如果出现上述情况，改动之处应加盖单位章或由投标人的法定代表人或其授权的代理人签字确认。第八章投标文件格式中要求签章的地方，投标人均应签章。凡第八章投标文件格式中未明确要求投标人签章的地方，无需签章。</w:t>
      </w:r>
    </w:p>
    <w:p>
      <w:pPr>
        <w:spacing w:line="400" w:lineRule="exact"/>
        <w:ind w:firstLine="482"/>
        <w:rPr>
          <w:rFonts w:ascii="宋体" w:hAnsi="宋体"/>
          <w:color w:val="000000"/>
        </w:rPr>
      </w:pPr>
      <w:r>
        <w:rPr>
          <w:rFonts w:hint="eastAsia"/>
          <w:color w:val="000000"/>
        </w:rPr>
        <w:t>3.7.4</w:t>
      </w:r>
      <w:r>
        <w:rPr>
          <w:rFonts w:hint="eastAsia" w:ascii="宋体" w:hAnsi="宋体"/>
          <w:color w:val="000000"/>
        </w:rPr>
        <w:t>投标文件正本一份,副本份数见投标人须知前附表。正本和副本的封面上应清楚地标记“正本”或“副本”的字样。当副本和正本不一致时，以正本为准。</w:t>
      </w:r>
    </w:p>
    <w:p>
      <w:pPr>
        <w:spacing w:line="400" w:lineRule="exact"/>
        <w:ind w:firstLine="482"/>
        <w:rPr>
          <w:rFonts w:ascii="宋体" w:hAnsi="宋体"/>
          <w:color w:val="000000"/>
        </w:rPr>
      </w:pPr>
      <w:r>
        <w:rPr>
          <w:rFonts w:hint="eastAsia"/>
          <w:color w:val="000000"/>
        </w:rPr>
        <w:t>3.7.5</w:t>
      </w:r>
      <w:r>
        <w:rPr>
          <w:rFonts w:hint="eastAsia" w:ascii="宋体" w:hAnsi="宋体"/>
          <w:color w:val="000000"/>
        </w:rPr>
        <w:t>投标文件的正本与副本应分别装订成册，</w:t>
      </w:r>
      <w:r>
        <w:rPr>
          <w:rFonts w:hint="eastAsia"/>
          <w:color w:val="000000"/>
        </w:rPr>
        <w:t>（本采购项目投标文件不得采用活页装订，应采用胶包装订方式）。</w:t>
      </w:r>
    </w:p>
    <w:p>
      <w:pPr>
        <w:spacing w:line="400" w:lineRule="exact"/>
        <w:ind w:firstLine="482"/>
        <w:rPr>
          <w:rFonts w:ascii="宋体" w:hAnsi="宋体"/>
          <w:color w:val="000000"/>
        </w:rPr>
      </w:pPr>
      <w:r>
        <w:rPr>
          <w:rFonts w:hint="eastAsia"/>
          <w:color w:val="000000"/>
        </w:rPr>
        <w:t>3.7.6</w:t>
      </w:r>
      <w:r>
        <w:rPr>
          <w:rFonts w:hint="eastAsia" w:ascii="宋体" w:hAnsi="宋体"/>
          <w:color w:val="000000"/>
        </w:rPr>
        <w:t xml:space="preserve"> </w:t>
      </w:r>
      <w:r>
        <w:rPr>
          <w:rFonts w:ascii="宋体" w:hAnsi="宋体"/>
          <w:color w:val="000000"/>
        </w:rPr>
        <w:t>电子投标文件制作</w:t>
      </w:r>
    </w:p>
    <w:p>
      <w:pPr>
        <w:spacing w:line="400" w:lineRule="exact"/>
        <w:ind w:firstLine="482"/>
        <w:rPr>
          <w:color w:val="000000"/>
        </w:rPr>
      </w:pPr>
      <w:r>
        <w:rPr>
          <w:color w:val="000000"/>
        </w:rPr>
        <w:t>（1）电子投标文件要求为签章后扫描的PDF格式，加密上传至宜昌城建控股集团招标采购平台。</w:t>
      </w:r>
    </w:p>
    <w:p>
      <w:pPr>
        <w:spacing w:line="400" w:lineRule="exact"/>
        <w:ind w:firstLine="482"/>
        <w:rPr>
          <w:color w:val="000000"/>
        </w:rPr>
      </w:pPr>
      <w:r>
        <w:rPr>
          <w:color w:val="000000"/>
        </w:rPr>
        <w:t>（2）电子投标文件中的证明资料的“复印件”均为“原件彩色扫描件”。</w:t>
      </w:r>
    </w:p>
    <w:p>
      <w:pPr>
        <w:spacing w:line="400" w:lineRule="exact"/>
        <w:ind w:firstLine="482"/>
        <w:rPr>
          <w:color w:val="000000"/>
        </w:rPr>
      </w:pPr>
      <w:r>
        <w:rPr>
          <w:color w:val="000000"/>
        </w:rPr>
        <w:t>（3）第八章投标文件格式中要求签章的地方，投标人均应签章。凡第八章投标文件格式中未明确要求投标人签章的地方，无需签章。</w:t>
      </w:r>
    </w:p>
    <w:p>
      <w:pPr>
        <w:spacing w:line="400" w:lineRule="exact"/>
        <w:ind w:firstLine="482"/>
        <w:rPr>
          <w:color w:val="000000"/>
        </w:rPr>
      </w:pPr>
      <w:r>
        <w:rPr>
          <w:color w:val="000000"/>
        </w:rPr>
        <w:t>（4）如招标人需对招标文件进行澄清、修改或补充，而发出电子招标澄清修改文件时，则投标人应以招标人最后发布的电子招标澄清修改文件制作电子投标文件。</w:t>
      </w:r>
    </w:p>
    <w:p>
      <w:pPr>
        <w:spacing w:line="400" w:lineRule="exact"/>
        <w:ind w:firstLine="482"/>
        <w:rPr>
          <w:color w:val="000000"/>
        </w:rPr>
      </w:pPr>
      <w:r>
        <w:rPr>
          <w:color w:val="000000"/>
        </w:rPr>
        <w:t>3.7.7 投标人递交的电子投标文件因投标人自身原因而导致无法导入通过宜昌城建控股集团招标采购平台系统的，该投标视为无效投标；在平台试运行期间，非投标人原因，导致上传电子投标文件无法打开或有缺陷，截止提交投标文件时间，已提交纸质投标文件的视为有效投标。</w:t>
      </w:r>
    </w:p>
    <w:p>
      <w:pPr>
        <w:pStyle w:val="3"/>
        <w:jc w:val="both"/>
        <w:rPr>
          <w:color w:val="000000"/>
        </w:rPr>
      </w:pPr>
      <w:bookmarkStart w:id="34" w:name="_Toc18672562"/>
      <w:r>
        <w:rPr>
          <w:rFonts w:hint="eastAsia"/>
          <w:color w:val="000000"/>
        </w:rPr>
        <w:t>4. 投标</w:t>
      </w:r>
      <w:bookmarkEnd w:id="34"/>
    </w:p>
    <w:p>
      <w:pPr>
        <w:pStyle w:val="4"/>
        <w:keepNext w:val="0"/>
        <w:keepLines w:val="0"/>
        <w:jc w:val="both"/>
        <w:rPr>
          <w:color w:val="000000"/>
        </w:rPr>
      </w:pPr>
      <w:r>
        <w:rPr>
          <w:rFonts w:hint="eastAsia"/>
          <w:color w:val="000000"/>
        </w:rPr>
        <w:t>4.1 投标文件的密封和标识</w:t>
      </w:r>
    </w:p>
    <w:p>
      <w:pPr>
        <w:spacing w:line="400" w:lineRule="exact"/>
        <w:ind w:firstLine="482"/>
        <w:rPr>
          <w:color w:val="000000"/>
        </w:rPr>
      </w:pPr>
      <w:r>
        <w:rPr>
          <w:rFonts w:hint="eastAsia"/>
          <w:color w:val="000000"/>
        </w:rPr>
        <w:t>4.1.1 电子投标文件</w:t>
      </w:r>
    </w:p>
    <w:p>
      <w:pPr>
        <w:spacing w:line="400" w:lineRule="exact"/>
        <w:ind w:firstLine="482"/>
        <w:rPr>
          <w:color w:val="000000"/>
        </w:rPr>
      </w:pPr>
      <w:r>
        <w:rPr>
          <w:rFonts w:hint="eastAsia"/>
          <w:color w:val="000000"/>
        </w:rPr>
        <w:t>投标人上传电子</w:t>
      </w:r>
      <w:r>
        <w:rPr>
          <w:color w:val="000000"/>
        </w:rPr>
        <w:t>投标文件</w:t>
      </w:r>
      <w:r>
        <w:rPr>
          <w:rFonts w:hint="eastAsia"/>
          <w:color w:val="000000"/>
        </w:rPr>
        <w:t>须设置密码加密，开标时间达到在接到解密提醒通知后30分钟之内登录宜昌城建控股集团招标采购平台对投标文件进行解密。</w:t>
      </w:r>
    </w:p>
    <w:p>
      <w:pPr>
        <w:spacing w:line="400" w:lineRule="exact"/>
        <w:ind w:firstLine="482"/>
        <w:rPr>
          <w:color w:val="000000"/>
        </w:rPr>
      </w:pPr>
      <w:r>
        <w:rPr>
          <w:rFonts w:hint="eastAsia"/>
          <w:color w:val="000000"/>
        </w:rPr>
        <w:t>4.1.2纸质版投标文件</w:t>
      </w:r>
    </w:p>
    <w:p>
      <w:pPr>
        <w:spacing w:line="400" w:lineRule="exact"/>
        <w:ind w:firstLine="482"/>
        <w:rPr>
          <w:color w:val="000000"/>
        </w:rPr>
      </w:pPr>
      <w:r>
        <w:rPr>
          <w:rFonts w:hint="eastAsia"/>
          <w:color w:val="000000"/>
        </w:rPr>
        <w:t>投标人必须将纸质版投标文件密封提交，可将投标文件统一密封或将正本和每份副本分别密封，所有投标文件的密封袋的封口处应加盖投标人印章。投标人应在封袋上正确标明“正本”或“副本”，所有封袋上都应写明招标人名称、项目名称、项目编号以及投标人的名称，并注明开标时间前不得开封。</w:t>
      </w:r>
    </w:p>
    <w:p>
      <w:pPr>
        <w:spacing w:line="400" w:lineRule="exact"/>
        <w:ind w:firstLine="482"/>
        <w:rPr>
          <w:color w:val="000000"/>
        </w:rPr>
      </w:pPr>
      <w:r>
        <w:rPr>
          <w:rFonts w:hint="eastAsia"/>
          <w:color w:val="000000"/>
        </w:rPr>
        <w:t>4.1.3 未按本章第4.1.1项或第4.1.2项要求密封和加写标记的投标文件，招标人应予拒收。</w:t>
      </w:r>
    </w:p>
    <w:p>
      <w:pPr>
        <w:pStyle w:val="4"/>
        <w:keepNext w:val="0"/>
        <w:keepLines w:val="0"/>
        <w:jc w:val="both"/>
        <w:rPr>
          <w:color w:val="000000"/>
        </w:rPr>
      </w:pPr>
      <w:r>
        <w:rPr>
          <w:rFonts w:hint="eastAsia"/>
          <w:color w:val="000000"/>
        </w:rPr>
        <w:t>4.2 投标文件的递交</w:t>
      </w:r>
    </w:p>
    <w:p>
      <w:pPr>
        <w:spacing w:line="400" w:lineRule="exact"/>
        <w:ind w:firstLine="482"/>
        <w:rPr>
          <w:color w:val="000000"/>
        </w:rPr>
      </w:pPr>
      <w:r>
        <w:rPr>
          <w:rFonts w:hint="eastAsia"/>
          <w:color w:val="000000"/>
        </w:rPr>
        <w:t>4.2.1 投标人递交投标文件的截止时间（投标截止时间）：</w:t>
      </w:r>
      <w:r>
        <w:rPr>
          <w:rFonts w:hint="eastAsia"/>
          <w:color w:val="000000"/>
          <w:u w:val="single"/>
        </w:rPr>
        <w:t>2019</w:t>
      </w:r>
      <w:r>
        <w:rPr>
          <w:rFonts w:hint="eastAsia"/>
          <w:color w:val="000000"/>
        </w:rPr>
        <w:t>年</w:t>
      </w:r>
      <w:r>
        <w:rPr>
          <w:rFonts w:hint="eastAsia"/>
          <w:color w:val="000000"/>
          <w:u w:val="single"/>
        </w:rPr>
        <w:t>10</w:t>
      </w:r>
      <w:r>
        <w:rPr>
          <w:rFonts w:hint="eastAsia"/>
          <w:color w:val="000000"/>
        </w:rPr>
        <w:t>月</w:t>
      </w:r>
      <w:r>
        <w:rPr>
          <w:rFonts w:hint="eastAsia"/>
          <w:color w:val="000000"/>
          <w:u w:val="single"/>
        </w:rPr>
        <w:t>22</w:t>
      </w:r>
      <w:r>
        <w:rPr>
          <w:rFonts w:hint="eastAsia"/>
          <w:color w:val="000000"/>
        </w:rPr>
        <w:t>日</w:t>
      </w:r>
      <w:r>
        <w:rPr>
          <w:rFonts w:hint="eastAsia"/>
          <w:color w:val="000000"/>
          <w:u w:val="single"/>
        </w:rPr>
        <w:t>9</w:t>
      </w:r>
      <w:r>
        <w:rPr>
          <w:rFonts w:hint="eastAsia"/>
          <w:color w:val="000000"/>
        </w:rPr>
        <w:t>时</w:t>
      </w:r>
      <w:r>
        <w:rPr>
          <w:rFonts w:hint="eastAsia"/>
          <w:color w:val="000000"/>
          <w:u w:val="single"/>
        </w:rPr>
        <w:t>30</w:t>
      </w:r>
      <w:r>
        <w:rPr>
          <w:rFonts w:hint="eastAsia"/>
          <w:color w:val="000000"/>
        </w:rPr>
        <w:t>分 。</w:t>
      </w:r>
    </w:p>
    <w:p>
      <w:pPr>
        <w:spacing w:line="400" w:lineRule="exact"/>
        <w:ind w:firstLine="482"/>
        <w:rPr>
          <w:color w:val="000000"/>
        </w:rPr>
      </w:pPr>
      <w:r>
        <w:rPr>
          <w:color w:val="000000"/>
        </w:rPr>
        <w:t>4.</w:t>
      </w:r>
      <w:r>
        <w:rPr>
          <w:rFonts w:hint="eastAsia"/>
          <w:color w:val="000000"/>
        </w:rPr>
        <w:t>2</w:t>
      </w:r>
      <w:r>
        <w:rPr>
          <w:color w:val="000000"/>
        </w:rPr>
        <w:t>.</w:t>
      </w:r>
      <w:r>
        <w:rPr>
          <w:rFonts w:hint="eastAsia"/>
          <w:color w:val="000000"/>
        </w:rPr>
        <w:t>2 投标人应当在投标截止时间前，以下列两种方式递交投标文件：</w:t>
      </w:r>
    </w:p>
    <w:p>
      <w:pPr>
        <w:spacing w:line="400" w:lineRule="exact"/>
        <w:ind w:firstLine="482"/>
        <w:rPr>
          <w:color w:val="000000"/>
        </w:rPr>
      </w:pPr>
      <w:r>
        <w:rPr>
          <w:rFonts w:hint="eastAsia"/>
          <w:color w:val="000000"/>
        </w:rPr>
        <w:t>（1）网上递交：投标人应当在投标截止时间前，登录宜昌城建控股集团招标采购平台，将电子投标文件上传并设置密码</w:t>
      </w:r>
      <w:r>
        <w:rPr>
          <w:color w:val="000000"/>
        </w:rPr>
        <w:t>，</w:t>
      </w:r>
      <w:r>
        <w:rPr>
          <w:rFonts w:hint="eastAsia"/>
          <w:color w:val="000000"/>
        </w:rPr>
        <w:t>平台显示的上传</w:t>
      </w:r>
      <w:r>
        <w:rPr>
          <w:color w:val="000000"/>
        </w:rPr>
        <w:t>时间即为</w:t>
      </w:r>
      <w:r>
        <w:rPr>
          <w:rFonts w:hint="eastAsia"/>
          <w:color w:val="000000"/>
        </w:rPr>
        <w:t>投标文件递交</w:t>
      </w:r>
      <w:r>
        <w:rPr>
          <w:color w:val="000000"/>
        </w:rPr>
        <w:t>时间。</w:t>
      </w:r>
      <w:r>
        <w:rPr>
          <w:rFonts w:hint="eastAsia"/>
          <w:color w:val="000000"/>
        </w:rPr>
        <w:t>投标人应充分考虑上传文件时的不可预见因素，</w:t>
      </w:r>
      <w:r>
        <w:rPr>
          <w:color w:val="000000"/>
        </w:rPr>
        <w:t>未在投标截止时间前完成上传</w:t>
      </w:r>
      <w:r>
        <w:rPr>
          <w:rFonts w:hint="eastAsia"/>
          <w:color w:val="000000"/>
        </w:rPr>
        <w:t>的，</w:t>
      </w:r>
      <w:r>
        <w:rPr>
          <w:color w:val="000000"/>
        </w:rPr>
        <w:t>视为逾期送达</w:t>
      </w:r>
      <w:r>
        <w:rPr>
          <w:rFonts w:hint="eastAsia"/>
          <w:color w:val="000000"/>
        </w:rPr>
        <w:t>，招标人（宜昌城建控股集团招标采购平台）</w:t>
      </w:r>
      <w:r>
        <w:rPr>
          <w:color w:val="000000"/>
        </w:rPr>
        <w:t>将拒收。</w:t>
      </w:r>
    </w:p>
    <w:p>
      <w:pPr>
        <w:spacing w:line="400" w:lineRule="exact"/>
        <w:ind w:firstLine="482"/>
        <w:rPr>
          <w:color w:val="000000"/>
        </w:rPr>
      </w:pPr>
      <w:r>
        <w:rPr>
          <w:rFonts w:hint="eastAsia"/>
          <w:color w:val="000000"/>
        </w:rPr>
        <w:t>（2）现场递交：投标人应当在投标截止时间前，将纸质版投标文件按照本章第4.1.2项要求密封和加写标记后递交，递交地点为</w:t>
      </w:r>
      <w:r>
        <w:rPr>
          <w:rFonts w:hint="eastAsia" w:ascii="宋体" w:hAnsi="宋体"/>
          <w:color w:val="000000"/>
          <w:kern w:val="0"/>
          <w:szCs w:val="21"/>
        </w:rPr>
        <w:t>宜昌城市投资控股集团（宜昌市伍家岗区沿江大道189号） 8楼评标室</w:t>
      </w:r>
      <w:r>
        <w:rPr>
          <w:rFonts w:hint="eastAsia"/>
          <w:color w:val="000000"/>
        </w:rPr>
        <w:t>，现场进行签到。逾期送达</w:t>
      </w:r>
      <w:r>
        <w:rPr>
          <w:color w:val="000000"/>
        </w:rPr>
        <w:t>的或者未送达指定地点的</w:t>
      </w:r>
      <w:r>
        <w:rPr>
          <w:rFonts w:hint="eastAsia"/>
          <w:color w:val="000000"/>
        </w:rPr>
        <w:t>，</w:t>
      </w:r>
      <w:r>
        <w:rPr>
          <w:color w:val="000000"/>
        </w:rPr>
        <w:t>招标</w:t>
      </w:r>
      <w:r>
        <w:rPr>
          <w:rFonts w:hint="eastAsia"/>
          <w:color w:val="000000"/>
        </w:rPr>
        <w:t>人</w:t>
      </w:r>
      <w:r>
        <w:rPr>
          <w:color w:val="000000"/>
        </w:rPr>
        <w:t>将拒收。</w:t>
      </w:r>
    </w:p>
    <w:p>
      <w:pPr>
        <w:spacing w:line="400" w:lineRule="exact"/>
        <w:ind w:firstLine="482"/>
        <w:rPr>
          <w:color w:val="000000"/>
        </w:rPr>
      </w:pPr>
      <w:r>
        <w:rPr>
          <w:rFonts w:hint="eastAsia"/>
          <w:color w:val="000000"/>
        </w:rPr>
        <w:t>4.2.3 招标人可以修改通知的方式，酌情延长递交投标文件的截止日期。在此情况下，招标人与投标人以前的投标截止期方面的全部权力、责任和义务，将适用于延长后新的投标截止时间。</w:t>
      </w:r>
    </w:p>
    <w:p>
      <w:pPr>
        <w:spacing w:line="400" w:lineRule="exact"/>
        <w:ind w:firstLine="482"/>
        <w:rPr>
          <w:color w:val="000000"/>
        </w:rPr>
      </w:pPr>
      <w:r>
        <w:rPr>
          <w:rFonts w:hint="eastAsia"/>
          <w:color w:val="000000"/>
        </w:rPr>
        <w:t>4.2.4 超过投标截止时间送达的投标文件将被拒绝接收。</w:t>
      </w:r>
    </w:p>
    <w:p>
      <w:pPr>
        <w:spacing w:line="400" w:lineRule="exact"/>
        <w:ind w:firstLine="482"/>
        <w:rPr>
          <w:color w:val="000000"/>
        </w:rPr>
      </w:pPr>
      <w:r>
        <w:rPr>
          <w:rFonts w:hint="eastAsia"/>
          <w:color w:val="000000"/>
        </w:rPr>
        <w:t>4.2.5到投标截止时间止，递交投标文件的投标人少于3个时，招标人将依法重新组织招标。</w:t>
      </w:r>
    </w:p>
    <w:p>
      <w:pPr>
        <w:pStyle w:val="4"/>
        <w:keepNext w:val="0"/>
        <w:keepLines w:val="0"/>
        <w:jc w:val="both"/>
        <w:rPr>
          <w:color w:val="000000"/>
        </w:rPr>
      </w:pPr>
      <w:r>
        <w:rPr>
          <w:rFonts w:hint="eastAsia"/>
          <w:color w:val="000000"/>
        </w:rPr>
        <w:t>4.3 投标文件的修改与撤回</w:t>
      </w:r>
    </w:p>
    <w:p>
      <w:pPr>
        <w:spacing w:line="400" w:lineRule="exact"/>
        <w:ind w:firstLine="420" w:firstLineChars="200"/>
        <w:rPr>
          <w:color w:val="000000"/>
        </w:rPr>
      </w:pPr>
      <w:bookmarkStart w:id="35" w:name="EB0136289d5cbd4b2fa6204b4b0668e04f"/>
      <w:r>
        <w:rPr>
          <w:rFonts w:hint="eastAsia"/>
          <w:color w:val="000000"/>
        </w:rPr>
        <w:t>4.3.1 在投标人须知前附表规定的投标截止时间前，投标人可以修改或撤回已递交的投标文件，但应以书面形式通知招标人。</w:t>
      </w:r>
    </w:p>
    <w:p>
      <w:pPr>
        <w:spacing w:line="400" w:lineRule="exact"/>
        <w:ind w:firstLine="420" w:firstLineChars="200"/>
        <w:rPr>
          <w:color w:val="000000"/>
        </w:rPr>
      </w:pPr>
      <w:r>
        <w:rPr>
          <w:rFonts w:hint="eastAsia"/>
          <w:color w:val="000000"/>
        </w:rPr>
        <w:t>4.3.2 投标人修改或撤回已递交投标文件的书面通知应按照招标文件的要求签字或盖章。招标人收到书面通知后，向投标人出具签收凭证。</w:t>
      </w:r>
    </w:p>
    <w:p>
      <w:pPr>
        <w:spacing w:line="400" w:lineRule="exact"/>
        <w:ind w:firstLine="420" w:firstLineChars="200"/>
        <w:rPr>
          <w:color w:val="000000"/>
        </w:rPr>
      </w:pPr>
      <w:r>
        <w:rPr>
          <w:rFonts w:hint="eastAsia"/>
          <w:color w:val="000000"/>
        </w:rPr>
        <w:t>4.3.3 投标人撤回投标文件的，招标人自收到投标人书面撤回通知之日起5日内退还已收取的投标保证金。</w:t>
      </w:r>
    </w:p>
    <w:p>
      <w:pPr>
        <w:spacing w:line="400" w:lineRule="exact"/>
        <w:ind w:firstLine="420" w:firstLineChars="200"/>
        <w:rPr>
          <w:color w:val="000000"/>
        </w:rPr>
      </w:pPr>
      <w:r>
        <w:rPr>
          <w:rFonts w:hint="eastAsia"/>
          <w:color w:val="000000"/>
        </w:rPr>
        <w:t>4.3.4 修改的内容为投标文件的组成部分。修改的投标文件应按照本章第3条、第4条规定进行编制、密封、标记和递交，并标明“修改”字样。</w:t>
      </w:r>
    </w:p>
    <w:bookmarkEnd w:id="35"/>
    <w:p>
      <w:pPr>
        <w:rPr>
          <w:color w:val="000000"/>
        </w:rPr>
      </w:pPr>
      <w:bookmarkStart w:id="36" w:name="EB97d27d8010934490980680499089d327"/>
      <w:r>
        <w:rPr>
          <w:rFonts w:hint="eastAsia"/>
          <w:color w:val="000000"/>
          <w:sz w:val="20"/>
        </w:rPr>
        <w:t xml:space="preserve"> </w:t>
      </w:r>
      <w:bookmarkEnd w:id="36"/>
      <w:bookmarkStart w:id="37" w:name="EBd0c3cb02b23f4189a1aa242a2292789f"/>
      <w:r>
        <w:rPr>
          <w:rFonts w:hint="eastAsia"/>
          <w:color w:val="000000"/>
          <w:sz w:val="20"/>
        </w:rPr>
        <w:t xml:space="preserve"> </w:t>
      </w:r>
      <w:bookmarkEnd w:id="37"/>
    </w:p>
    <w:p>
      <w:pPr>
        <w:pStyle w:val="3"/>
        <w:jc w:val="both"/>
        <w:rPr>
          <w:color w:val="000000"/>
        </w:rPr>
      </w:pPr>
      <w:bookmarkStart w:id="38" w:name="_Toc18672563"/>
      <w:bookmarkStart w:id="39" w:name="_Toc522293510"/>
      <w:r>
        <w:rPr>
          <w:rFonts w:hint="eastAsia"/>
          <w:color w:val="000000"/>
        </w:rPr>
        <w:t>5. 开标</w:t>
      </w:r>
      <w:bookmarkEnd w:id="38"/>
      <w:bookmarkEnd w:id="39"/>
    </w:p>
    <w:p>
      <w:pPr>
        <w:pStyle w:val="4"/>
        <w:keepNext w:val="0"/>
        <w:keepLines w:val="0"/>
        <w:jc w:val="both"/>
        <w:rPr>
          <w:color w:val="000000"/>
        </w:rPr>
      </w:pPr>
      <w:r>
        <w:rPr>
          <w:rFonts w:hint="eastAsia"/>
          <w:color w:val="000000"/>
        </w:rPr>
        <w:t>5.1 开标时间和地点</w:t>
      </w:r>
    </w:p>
    <w:p>
      <w:pPr>
        <w:spacing w:line="400" w:lineRule="exact"/>
        <w:ind w:firstLine="482"/>
        <w:rPr>
          <w:color w:val="000000"/>
        </w:rPr>
      </w:pPr>
      <w:r>
        <w:rPr>
          <w:rFonts w:hint="eastAsia"/>
          <w:color w:val="000000"/>
        </w:rPr>
        <w:t>5.1.1 招标人将于投标人须知前附表规定的时间和地点公开开标，并邀请所有投标人授权委托代表准时参加。</w:t>
      </w:r>
    </w:p>
    <w:p>
      <w:pPr>
        <w:spacing w:line="400" w:lineRule="exact"/>
        <w:ind w:firstLine="482"/>
        <w:rPr>
          <w:color w:val="000000"/>
        </w:rPr>
      </w:pPr>
      <w:r>
        <w:rPr>
          <w:color w:val="000000"/>
        </w:rPr>
        <w:t>投标人</w:t>
      </w:r>
      <w:r>
        <w:rPr>
          <w:rFonts w:hint="eastAsia"/>
          <w:color w:val="000000"/>
        </w:rPr>
        <w:t>授权</w:t>
      </w:r>
      <w:r>
        <w:rPr>
          <w:color w:val="000000"/>
        </w:rPr>
        <w:t>委托代表必须按时参加开标会，并在招标人按开标程序进行点名时，向招标人提交</w:t>
      </w:r>
      <w:r>
        <w:rPr>
          <w:rFonts w:hint="eastAsia"/>
          <w:color w:val="000000"/>
        </w:rPr>
        <w:t>二代身份证和法人授权委托书查验，</w:t>
      </w:r>
      <w:r>
        <w:rPr>
          <w:color w:val="000000"/>
        </w:rPr>
        <w:t>以证明其出席。招标人核实确认并如实记入开标记录</w:t>
      </w:r>
      <w:r>
        <w:rPr>
          <w:rFonts w:hint="eastAsia"/>
          <w:color w:val="000000"/>
        </w:rPr>
        <w:t>。投标人授权委托代表未按要求参加开标会的，其</w:t>
      </w:r>
      <w:r>
        <w:rPr>
          <w:color w:val="000000"/>
        </w:rPr>
        <w:t>投标将被</w:t>
      </w:r>
      <w:r>
        <w:rPr>
          <w:rFonts w:hint="eastAsia"/>
          <w:color w:val="000000"/>
        </w:rPr>
        <w:t>否决</w:t>
      </w:r>
      <w:r>
        <w:rPr>
          <w:color w:val="000000"/>
        </w:rPr>
        <w:t>。</w:t>
      </w:r>
    </w:p>
    <w:p>
      <w:pPr>
        <w:pStyle w:val="4"/>
        <w:keepNext w:val="0"/>
        <w:keepLines w:val="0"/>
        <w:jc w:val="both"/>
        <w:rPr>
          <w:color w:val="000000"/>
        </w:rPr>
      </w:pPr>
      <w:r>
        <w:rPr>
          <w:rFonts w:hint="eastAsia"/>
          <w:color w:val="000000"/>
        </w:rPr>
        <w:t>5.2 开标程序</w:t>
      </w:r>
    </w:p>
    <w:p>
      <w:pPr>
        <w:spacing w:line="400" w:lineRule="exact"/>
        <w:ind w:firstLine="482"/>
        <w:rPr>
          <w:color w:val="000000"/>
        </w:rPr>
      </w:pPr>
      <w:r>
        <w:rPr>
          <w:rFonts w:hint="eastAsia"/>
          <w:color w:val="000000"/>
        </w:rPr>
        <w:t>主持人按下列程序进行开标：</w:t>
      </w:r>
    </w:p>
    <w:p>
      <w:pPr>
        <w:spacing w:line="400" w:lineRule="exact"/>
        <w:ind w:firstLine="482"/>
        <w:rPr>
          <w:color w:val="000000"/>
        </w:rPr>
      </w:pPr>
      <w:r>
        <w:rPr>
          <w:color w:val="000000"/>
        </w:rPr>
        <w:t>（1）</w:t>
      </w:r>
      <w:r>
        <w:rPr>
          <w:rFonts w:hint="eastAsia"/>
          <w:color w:val="000000"/>
        </w:rPr>
        <w:t>宣布开标会开始，并宣读开标纪律；</w:t>
      </w:r>
      <w:r>
        <w:rPr>
          <w:color w:val="000000"/>
        </w:rPr>
        <w:t xml:space="preserve"> </w:t>
      </w:r>
    </w:p>
    <w:p>
      <w:pPr>
        <w:spacing w:line="400" w:lineRule="exact"/>
        <w:ind w:firstLine="482"/>
        <w:rPr>
          <w:color w:val="000000"/>
        </w:rPr>
      </w:pPr>
      <w:r>
        <w:rPr>
          <w:color w:val="000000"/>
        </w:rPr>
        <w:t>（2）宣布</w:t>
      </w:r>
      <w:r>
        <w:rPr>
          <w:rFonts w:hint="eastAsia"/>
          <w:color w:val="000000"/>
        </w:rPr>
        <w:t>主持人、招标人代表、记录人、监标人</w:t>
      </w:r>
      <w:r>
        <w:rPr>
          <w:color w:val="000000"/>
        </w:rPr>
        <w:t>等有关人员</w:t>
      </w:r>
      <w:r>
        <w:rPr>
          <w:rFonts w:hint="eastAsia"/>
          <w:color w:val="000000"/>
        </w:rPr>
        <w:t>姓</w:t>
      </w:r>
      <w:r>
        <w:rPr>
          <w:color w:val="000000"/>
        </w:rPr>
        <w:t xml:space="preserve">名； </w:t>
      </w:r>
    </w:p>
    <w:p>
      <w:pPr>
        <w:spacing w:line="400" w:lineRule="exact"/>
        <w:ind w:firstLine="482"/>
        <w:rPr>
          <w:color w:val="000000"/>
        </w:rPr>
      </w:pPr>
      <w:r>
        <w:rPr>
          <w:color w:val="000000"/>
        </w:rPr>
        <w:t>（</w:t>
      </w:r>
      <w:r>
        <w:rPr>
          <w:rFonts w:hint="eastAsia"/>
          <w:color w:val="000000"/>
        </w:rPr>
        <w:t>3</w:t>
      </w:r>
      <w:r>
        <w:rPr>
          <w:color w:val="000000"/>
        </w:rPr>
        <w:t>）</w:t>
      </w:r>
      <w:r>
        <w:rPr>
          <w:rFonts w:hint="eastAsia"/>
          <w:color w:val="000000"/>
        </w:rPr>
        <w:t>公布在投标截止时间前投标文件的递交情况，并由招标人核查投标人授权委托代表是否出席开标会并核实其身份；</w:t>
      </w:r>
    </w:p>
    <w:p>
      <w:pPr>
        <w:spacing w:line="400" w:lineRule="exact"/>
        <w:ind w:firstLine="482"/>
        <w:rPr>
          <w:color w:val="000000"/>
        </w:rPr>
      </w:pPr>
      <w:r>
        <w:rPr>
          <w:color w:val="000000"/>
        </w:rPr>
        <w:t>（</w:t>
      </w:r>
      <w:r>
        <w:rPr>
          <w:rFonts w:hint="eastAsia"/>
          <w:color w:val="000000"/>
        </w:rPr>
        <w:t>4</w:t>
      </w:r>
      <w:r>
        <w:rPr>
          <w:color w:val="000000"/>
        </w:rPr>
        <w:t>）</w:t>
      </w:r>
      <w:r>
        <w:rPr>
          <w:rFonts w:hint="eastAsia"/>
          <w:color w:val="000000"/>
        </w:rPr>
        <w:t>对未按照第3.7.5项规定提交全部类型投标文件的投标人，其投标文件将被拒绝；</w:t>
      </w:r>
    </w:p>
    <w:p>
      <w:pPr>
        <w:spacing w:line="400" w:lineRule="exact"/>
        <w:ind w:firstLine="482"/>
        <w:rPr>
          <w:color w:val="000000"/>
        </w:rPr>
      </w:pPr>
      <w:r>
        <w:rPr>
          <w:color w:val="000000"/>
        </w:rPr>
        <w:t>（</w:t>
      </w:r>
      <w:r>
        <w:rPr>
          <w:rFonts w:hint="eastAsia"/>
          <w:color w:val="000000"/>
        </w:rPr>
        <w:t>5</w:t>
      </w:r>
      <w:r>
        <w:rPr>
          <w:color w:val="000000"/>
        </w:rPr>
        <w:t>）设有标底或招标控制价的，公布标底</w:t>
      </w:r>
      <w:r>
        <w:rPr>
          <w:rFonts w:hint="eastAsia"/>
          <w:color w:val="000000"/>
        </w:rPr>
        <w:t>、</w:t>
      </w:r>
      <w:r>
        <w:rPr>
          <w:color w:val="000000"/>
        </w:rPr>
        <w:t>招标控制价, 须抽取或公布</w:t>
      </w:r>
      <w:r>
        <w:rPr>
          <w:rFonts w:hint="eastAsia"/>
          <w:color w:val="000000"/>
        </w:rPr>
        <w:t>合成系数</w:t>
      </w:r>
      <w:r>
        <w:rPr>
          <w:color w:val="000000"/>
        </w:rPr>
        <w:t>的，抽取</w:t>
      </w:r>
      <w:r>
        <w:rPr>
          <w:rFonts w:hint="eastAsia"/>
          <w:color w:val="000000"/>
        </w:rPr>
        <w:t>或</w:t>
      </w:r>
      <w:r>
        <w:rPr>
          <w:color w:val="000000"/>
        </w:rPr>
        <w:t>公布</w:t>
      </w:r>
      <w:r>
        <w:rPr>
          <w:rFonts w:hint="eastAsia"/>
          <w:color w:val="000000"/>
        </w:rPr>
        <w:t>合成系数</w:t>
      </w:r>
      <w:r>
        <w:rPr>
          <w:color w:val="000000"/>
        </w:rPr>
        <w:t>；</w:t>
      </w:r>
    </w:p>
    <w:p>
      <w:pPr>
        <w:spacing w:line="400" w:lineRule="exact"/>
        <w:ind w:firstLine="482"/>
        <w:rPr>
          <w:color w:val="000000"/>
        </w:rPr>
      </w:pPr>
      <w:r>
        <w:rPr>
          <w:color w:val="000000"/>
        </w:rPr>
        <w:t>（</w:t>
      </w:r>
      <w:r>
        <w:rPr>
          <w:rFonts w:hint="eastAsia"/>
          <w:color w:val="000000"/>
        </w:rPr>
        <w:t>6</w:t>
      </w:r>
      <w:r>
        <w:rPr>
          <w:color w:val="000000"/>
        </w:rPr>
        <w:t>）</w:t>
      </w:r>
      <w:r>
        <w:rPr>
          <w:rFonts w:hint="eastAsia"/>
          <w:color w:val="000000"/>
        </w:rPr>
        <w:t>唱标，公布</w:t>
      </w:r>
      <w:r>
        <w:rPr>
          <w:color w:val="000000"/>
        </w:rPr>
        <w:t>投标人名称、投标报价</w:t>
      </w:r>
      <w:r>
        <w:rPr>
          <w:rFonts w:hint="eastAsia"/>
          <w:color w:val="000000"/>
        </w:rPr>
        <w:t>、质量目标、工期、项目经理姓名及其他内容；</w:t>
      </w:r>
    </w:p>
    <w:p>
      <w:pPr>
        <w:spacing w:line="400" w:lineRule="exact"/>
        <w:ind w:firstLine="482"/>
        <w:rPr>
          <w:color w:val="000000"/>
        </w:rPr>
      </w:pPr>
      <w:r>
        <w:rPr>
          <w:color w:val="000000"/>
        </w:rPr>
        <w:t>（</w:t>
      </w:r>
      <w:r>
        <w:rPr>
          <w:rFonts w:hint="eastAsia"/>
          <w:color w:val="000000"/>
        </w:rPr>
        <w:t>7</w:t>
      </w:r>
      <w:r>
        <w:rPr>
          <w:color w:val="000000"/>
        </w:rPr>
        <w:t>）</w:t>
      </w:r>
      <w:r>
        <w:rPr>
          <w:rFonts w:hint="eastAsia"/>
          <w:color w:val="000000"/>
        </w:rPr>
        <w:t>招标人代表、监标人、记录人、投标人授权委托代表等在开标记录表上签字确认；</w:t>
      </w:r>
    </w:p>
    <w:p>
      <w:pPr>
        <w:spacing w:line="400" w:lineRule="exact"/>
        <w:ind w:firstLine="482"/>
        <w:rPr>
          <w:color w:val="000000"/>
        </w:rPr>
      </w:pPr>
      <w:r>
        <w:rPr>
          <w:rFonts w:hint="eastAsia"/>
          <w:color w:val="000000"/>
        </w:rPr>
        <w:t>（8）宣布评标期间注意事项；</w:t>
      </w:r>
    </w:p>
    <w:p>
      <w:pPr>
        <w:spacing w:line="400" w:lineRule="exact"/>
        <w:ind w:firstLine="482"/>
        <w:rPr>
          <w:color w:val="000000"/>
        </w:rPr>
      </w:pPr>
      <w:r>
        <w:rPr>
          <w:color w:val="000000"/>
        </w:rPr>
        <w:t>（</w:t>
      </w:r>
      <w:r>
        <w:rPr>
          <w:rFonts w:hint="eastAsia"/>
          <w:color w:val="000000"/>
        </w:rPr>
        <w:t>9</w:t>
      </w:r>
      <w:r>
        <w:rPr>
          <w:color w:val="000000"/>
        </w:rPr>
        <w:t>）</w:t>
      </w:r>
      <w:r>
        <w:rPr>
          <w:rFonts w:hint="eastAsia"/>
          <w:color w:val="000000"/>
        </w:rPr>
        <w:t>开标结束。</w:t>
      </w:r>
    </w:p>
    <w:p>
      <w:pPr>
        <w:pStyle w:val="4"/>
        <w:keepNext w:val="0"/>
        <w:keepLines w:val="0"/>
        <w:jc w:val="both"/>
        <w:rPr>
          <w:color w:val="000000"/>
        </w:rPr>
      </w:pPr>
      <w:r>
        <w:rPr>
          <w:rFonts w:hint="eastAsia"/>
          <w:color w:val="000000"/>
        </w:rPr>
        <w:t>5.3 开标异议</w:t>
      </w:r>
    </w:p>
    <w:p>
      <w:pPr>
        <w:spacing w:line="400" w:lineRule="exact"/>
        <w:ind w:firstLine="482"/>
        <w:rPr>
          <w:color w:val="000000"/>
        </w:rPr>
      </w:pPr>
      <w:r>
        <w:rPr>
          <w:rFonts w:hint="eastAsia"/>
          <w:color w:val="000000"/>
        </w:rPr>
        <w:t>5.3.1 投标人对开标有异议的，应当在开标现场提出；招标人当场对异议作出答复，并制作记录。</w:t>
      </w:r>
    </w:p>
    <w:p>
      <w:pPr>
        <w:spacing w:line="400" w:lineRule="exact"/>
        <w:ind w:firstLine="482"/>
        <w:rPr>
          <w:color w:val="000000"/>
        </w:rPr>
      </w:pPr>
      <w:r>
        <w:rPr>
          <w:rFonts w:hint="eastAsia"/>
          <w:color w:val="000000"/>
        </w:rPr>
        <w:t>本处所称异议是指投标人在</w:t>
      </w:r>
      <w:r>
        <w:rPr>
          <w:color w:val="000000"/>
        </w:rPr>
        <w:t>开标现场对投标文件提交、</w:t>
      </w:r>
      <w:r>
        <w:rPr>
          <w:rFonts w:hint="eastAsia"/>
          <w:color w:val="000000"/>
        </w:rPr>
        <w:t>投标</w:t>
      </w:r>
      <w:r>
        <w:rPr>
          <w:color w:val="000000"/>
        </w:rPr>
        <w:t>截</w:t>
      </w:r>
      <w:r>
        <w:rPr>
          <w:rFonts w:hint="eastAsia"/>
          <w:color w:val="000000"/>
        </w:rPr>
        <w:t>止</w:t>
      </w:r>
      <w:r>
        <w:rPr>
          <w:color w:val="000000"/>
        </w:rPr>
        <w:t>时间、开标程序、投标文件密封、唱标内容、开标记录、唱标次序以及投标人和招标人或者投标人相互之间存在利益冲突的情形等</w:t>
      </w:r>
      <w:r>
        <w:rPr>
          <w:rFonts w:hint="eastAsia"/>
          <w:color w:val="000000"/>
        </w:rPr>
        <w:t>提出的质疑。</w:t>
      </w:r>
    </w:p>
    <w:p>
      <w:pPr>
        <w:spacing w:line="400" w:lineRule="exact"/>
        <w:ind w:firstLine="482"/>
        <w:rPr>
          <w:color w:val="000000"/>
        </w:rPr>
      </w:pPr>
      <w:r>
        <w:rPr>
          <w:rFonts w:hint="eastAsia"/>
          <w:color w:val="000000"/>
        </w:rPr>
        <w:t xml:space="preserve">5.3.2 </w:t>
      </w:r>
      <w:r>
        <w:rPr>
          <w:color w:val="000000"/>
        </w:rPr>
        <w:t>投标人异议成立的，招标人</w:t>
      </w:r>
      <w:r>
        <w:rPr>
          <w:rFonts w:hint="eastAsia"/>
          <w:color w:val="000000"/>
        </w:rPr>
        <w:t>将</w:t>
      </w:r>
      <w:r>
        <w:rPr>
          <w:color w:val="000000"/>
        </w:rPr>
        <w:t>及时采取纠正措施，或者提交评标委员会评审确认；投标人异议不成立的，招标人</w:t>
      </w:r>
      <w:r>
        <w:rPr>
          <w:rFonts w:hint="eastAsia"/>
          <w:color w:val="000000"/>
        </w:rPr>
        <w:t>将</w:t>
      </w:r>
      <w:r>
        <w:rPr>
          <w:color w:val="000000"/>
        </w:rPr>
        <w:t>当场给予解释说明。开标工作人员包括监督人员不应在开标现场对</w:t>
      </w:r>
      <w:r>
        <w:rPr>
          <w:rFonts w:hint="eastAsia"/>
          <w:color w:val="000000"/>
        </w:rPr>
        <w:t>相关</w:t>
      </w:r>
      <w:r>
        <w:rPr>
          <w:color w:val="000000"/>
        </w:rPr>
        <w:t>投标作出有效或者无效的判断</w:t>
      </w:r>
      <w:r>
        <w:rPr>
          <w:rFonts w:hint="eastAsia"/>
          <w:color w:val="000000"/>
        </w:rPr>
        <w:t>。</w:t>
      </w:r>
    </w:p>
    <w:p>
      <w:pPr>
        <w:pStyle w:val="3"/>
        <w:jc w:val="both"/>
        <w:rPr>
          <w:color w:val="000000"/>
        </w:rPr>
      </w:pPr>
      <w:bookmarkStart w:id="40" w:name="_Toc522293511"/>
      <w:bookmarkStart w:id="41" w:name="_Toc18672564"/>
      <w:r>
        <w:rPr>
          <w:rFonts w:hint="eastAsia"/>
          <w:color w:val="000000"/>
        </w:rPr>
        <w:t>6. 评标</w:t>
      </w:r>
      <w:bookmarkEnd w:id="40"/>
      <w:bookmarkEnd w:id="41"/>
    </w:p>
    <w:p>
      <w:pPr>
        <w:pStyle w:val="4"/>
        <w:keepNext w:val="0"/>
        <w:keepLines w:val="0"/>
        <w:jc w:val="both"/>
        <w:rPr>
          <w:color w:val="000000"/>
        </w:rPr>
      </w:pPr>
      <w:r>
        <w:rPr>
          <w:rFonts w:hint="eastAsia"/>
          <w:color w:val="000000"/>
        </w:rPr>
        <w:t>6.1 评标委员会</w:t>
      </w:r>
    </w:p>
    <w:p>
      <w:pPr>
        <w:spacing w:line="400" w:lineRule="exact"/>
        <w:ind w:firstLine="482"/>
        <w:rPr>
          <w:color w:val="000000"/>
        </w:rPr>
      </w:pPr>
      <w:r>
        <w:rPr>
          <w:rFonts w:hint="eastAsia"/>
          <w:color w:val="000000"/>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spacing w:line="400" w:lineRule="exact"/>
        <w:ind w:firstLine="482"/>
        <w:rPr>
          <w:color w:val="000000"/>
        </w:rPr>
      </w:pPr>
      <w:r>
        <w:rPr>
          <w:rFonts w:hint="eastAsia"/>
          <w:color w:val="000000"/>
        </w:rPr>
        <w:t>6.1.2 评标委员会成员有下列情形之一的，应当回避：</w:t>
      </w:r>
    </w:p>
    <w:p>
      <w:pPr>
        <w:spacing w:line="400" w:lineRule="exact"/>
        <w:ind w:firstLine="482"/>
        <w:rPr>
          <w:color w:val="000000"/>
        </w:rPr>
      </w:pPr>
      <w:r>
        <w:rPr>
          <w:rFonts w:hint="eastAsia"/>
          <w:color w:val="000000"/>
        </w:rPr>
        <w:t>（1）招标人或投标人的主要负责人的近亲属；</w:t>
      </w:r>
    </w:p>
    <w:p>
      <w:pPr>
        <w:spacing w:line="400" w:lineRule="exact"/>
        <w:ind w:firstLine="482"/>
        <w:rPr>
          <w:color w:val="000000"/>
        </w:rPr>
      </w:pPr>
      <w:r>
        <w:rPr>
          <w:rFonts w:hint="eastAsia"/>
          <w:color w:val="000000"/>
        </w:rPr>
        <w:t>（2）项目主管部门或者行政监督部门的人员；</w:t>
      </w:r>
    </w:p>
    <w:p>
      <w:pPr>
        <w:spacing w:line="400" w:lineRule="exact"/>
        <w:ind w:firstLine="482"/>
        <w:rPr>
          <w:color w:val="000000"/>
        </w:rPr>
      </w:pPr>
      <w:r>
        <w:rPr>
          <w:rFonts w:hint="eastAsia"/>
          <w:color w:val="000000"/>
        </w:rPr>
        <w:t>（3）与投标人有经济利益关系或其他利害关系，可能影响对投标公正评审的；</w:t>
      </w:r>
    </w:p>
    <w:p>
      <w:pPr>
        <w:spacing w:line="400" w:lineRule="exact"/>
        <w:ind w:firstLine="482"/>
        <w:rPr>
          <w:color w:val="000000"/>
        </w:rPr>
      </w:pPr>
      <w:r>
        <w:rPr>
          <w:rFonts w:hint="eastAsia"/>
          <w:color w:val="000000"/>
        </w:rPr>
        <w:t>（4）曾因在招标、评标以及其他与招标投标有关活动中从事违法行为而受过行政处罚或刑事处罚的。</w:t>
      </w:r>
    </w:p>
    <w:p>
      <w:pPr>
        <w:pStyle w:val="4"/>
        <w:keepNext w:val="0"/>
        <w:keepLines w:val="0"/>
        <w:jc w:val="both"/>
        <w:rPr>
          <w:color w:val="000000"/>
        </w:rPr>
      </w:pPr>
      <w:r>
        <w:rPr>
          <w:rFonts w:hint="eastAsia"/>
          <w:color w:val="000000"/>
        </w:rPr>
        <w:t>6.2 评标原则</w:t>
      </w:r>
    </w:p>
    <w:p>
      <w:pPr>
        <w:spacing w:line="400" w:lineRule="exact"/>
        <w:ind w:firstLine="482"/>
        <w:rPr>
          <w:color w:val="000000"/>
        </w:rPr>
      </w:pPr>
      <w:r>
        <w:rPr>
          <w:rFonts w:hint="eastAsia"/>
          <w:color w:val="000000"/>
        </w:rPr>
        <w:t>评标活动遵循公平、公正、科学和择优的原则。</w:t>
      </w:r>
    </w:p>
    <w:p>
      <w:pPr>
        <w:pStyle w:val="4"/>
        <w:keepNext w:val="0"/>
        <w:keepLines w:val="0"/>
        <w:jc w:val="both"/>
        <w:rPr>
          <w:color w:val="000000"/>
        </w:rPr>
      </w:pPr>
      <w:r>
        <w:rPr>
          <w:rFonts w:hint="eastAsia"/>
          <w:color w:val="000000"/>
        </w:rPr>
        <w:t>6.3 评标</w:t>
      </w:r>
    </w:p>
    <w:p>
      <w:pPr>
        <w:spacing w:line="400" w:lineRule="exact"/>
        <w:ind w:firstLine="482"/>
        <w:rPr>
          <w:color w:val="000000"/>
        </w:rPr>
      </w:pPr>
      <w:r>
        <w:rPr>
          <w:rFonts w:hint="eastAsia"/>
          <w:color w:val="000000"/>
        </w:rPr>
        <w:t>评标委员会按照第三章“评标办法”规定的方法、评审因素、标准和程序对投标文件进行评审。第三章“评标办法”没有规定的方法、评审因素和标准，不作为评标依据。</w:t>
      </w:r>
    </w:p>
    <w:p>
      <w:pPr>
        <w:spacing w:line="400" w:lineRule="exact"/>
        <w:ind w:firstLine="482"/>
        <w:rPr>
          <w:color w:val="000000"/>
        </w:rPr>
      </w:pPr>
    </w:p>
    <w:p>
      <w:pPr>
        <w:pStyle w:val="3"/>
        <w:jc w:val="both"/>
        <w:rPr>
          <w:color w:val="000000"/>
        </w:rPr>
      </w:pPr>
      <w:bookmarkStart w:id="42" w:name="_Toc18672565"/>
      <w:bookmarkStart w:id="43" w:name="_Toc522293512"/>
      <w:r>
        <w:rPr>
          <w:rFonts w:hint="eastAsia"/>
          <w:color w:val="000000"/>
        </w:rPr>
        <w:t>7. 合同授予</w:t>
      </w:r>
      <w:bookmarkEnd w:id="42"/>
      <w:bookmarkEnd w:id="43"/>
    </w:p>
    <w:p>
      <w:pPr>
        <w:pStyle w:val="4"/>
        <w:keepNext w:val="0"/>
        <w:keepLines w:val="0"/>
        <w:jc w:val="both"/>
        <w:rPr>
          <w:color w:val="000000"/>
        </w:rPr>
      </w:pPr>
      <w:r>
        <w:rPr>
          <w:rFonts w:hint="eastAsia"/>
          <w:color w:val="000000"/>
        </w:rPr>
        <w:t>7.1中标候选人公示</w:t>
      </w:r>
    </w:p>
    <w:p>
      <w:pPr>
        <w:spacing w:line="400" w:lineRule="exact"/>
        <w:ind w:firstLine="482"/>
        <w:rPr>
          <w:color w:val="000000"/>
        </w:rPr>
      </w:pPr>
      <w:r>
        <w:rPr>
          <w:color w:val="000000"/>
        </w:rPr>
        <w:t>7.1.1</w:t>
      </w:r>
      <w:r>
        <w:rPr>
          <w:rFonts w:hint="eastAsia"/>
          <w:color w:val="000000"/>
        </w:rPr>
        <w:t xml:space="preserve"> </w:t>
      </w:r>
      <w:r>
        <w:rPr>
          <w:color w:val="000000"/>
        </w:rPr>
        <w:t>招标人应当自收到评标报告之日起</w:t>
      </w:r>
      <w:r>
        <w:rPr>
          <w:rFonts w:hint="eastAsia"/>
          <w:color w:val="000000"/>
        </w:rPr>
        <w:t>3</w:t>
      </w:r>
      <w:r>
        <w:rPr>
          <w:color w:val="000000"/>
        </w:rPr>
        <w:t>日内，在网上公示中标候选人，公示期不少于</w:t>
      </w:r>
      <w:r>
        <w:rPr>
          <w:rFonts w:hint="eastAsia"/>
          <w:color w:val="000000"/>
        </w:rPr>
        <w:t>3</w:t>
      </w:r>
      <w:r>
        <w:rPr>
          <w:color w:val="000000"/>
        </w:rPr>
        <w:t>日。</w:t>
      </w:r>
    </w:p>
    <w:p>
      <w:pPr>
        <w:spacing w:line="400" w:lineRule="exact"/>
        <w:ind w:firstLine="482"/>
        <w:rPr>
          <w:color w:val="000000"/>
        </w:rPr>
      </w:pPr>
      <w:r>
        <w:rPr>
          <w:color w:val="000000"/>
        </w:rPr>
        <w:t>7.1.2</w:t>
      </w:r>
      <w:r>
        <w:rPr>
          <w:rFonts w:hint="eastAsia"/>
          <w:color w:val="000000"/>
        </w:rPr>
        <w:t xml:space="preserve"> </w:t>
      </w:r>
      <w:r>
        <w:rPr>
          <w:color w:val="000000"/>
        </w:rPr>
        <w:t>投标人或者其他利害关系人对依法必须进行招标的项目的评标结果有异议的，应当在中标候选人公示期间提出。招标人应当自收到异议之日起</w:t>
      </w:r>
      <w:r>
        <w:rPr>
          <w:rFonts w:hint="eastAsia"/>
          <w:color w:val="000000"/>
        </w:rPr>
        <w:t>3</w:t>
      </w:r>
      <w:r>
        <w:rPr>
          <w:color w:val="000000"/>
        </w:rPr>
        <w:t>日内作出答复；作出答复前，应当暂停招标投标活动。</w:t>
      </w:r>
    </w:p>
    <w:p>
      <w:pPr>
        <w:pStyle w:val="4"/>
        <w:keepNext w:val="0"/>
        <w:keepLines w:val="0"/>
        <w:jc w:val="both"/>
        <w:rPr>
          <w:color w:val="000000"/>
        </w:rPr>
      </w:pPr>
      <w:r>
        <w:rPr>
          <w:rFonts w:hint="eastAsia"/>
          <w:color w:val="000000"/>
        </w:rPr>
        <w:t>7.2 定标方式</w:t>
      </w:r>
    </w:p>
    <w:p>
      <w:pPr>
        <w:spacing w:line="400" w:lineRule="exact"/>
        <w:ind w:firstLine="482"/>
        <w:rPr>
          <w:color w:val="000000"/>
        </w:rPr>
      </w:pPr>
      <w:r>
        <w:rPr>
          <w:rFonts w:hint="eastAsia"/>
          <w:color w:val="000000"/>
        </w:rPr>
        <w:t>7.2.1中标候选人公示期满后，没有异议、投诉或者异议、投诉处理完毕。除投标人须知表7.2.1项规定评标委员会直接确定中标人外，由招标人依据评标委员会提出的书面评标报告，在投标有效期结束日三十个工作日前确定中标人。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spacing w:line="400" w:lineRule="exact"/>
        <w:ind w:firstLine="482"/>
        <w:rPr>
          <w:color w:val="000000"/>
        </w:rPr>
      </w:pPr>
      <w:r>
        <w:rPr>
          <w:rFonts w:hint="eastAsia"/>
          <w:color w:val="000000"/>
        </w:rPr>
        <w:t>评标委员会推荐中标候选人的数量见投标人须知前附表7.2.1项。</w:t>
      </w:r>
    </w:p>
    <w:p>
      <w:pPr>
        <w:spacing w:line="400" w:lineRule="exact"/>
        <w:ind w:firstLine="482"/>
        <w:rPr>
          <w:color w:val="000000"/>
        </w:rPr>
      </w:pPr>
      <w:r>
        <w:rPr>
          <w:rFonts w:hint="eastAsia"/>
          <w:color w:val="000000"/>
        </w:rPr>
        <w:t>7.2.2招标人应当按评标委员会提交的评标报告推荐的中标候选人确定中标人，并将招标书面情况报告报建设行政主管部门和相关部门备案，由相关部门依法进行公示。投标人或者其他利害关系人对依法必须进行招标的项目有异议或投诉的，按照《中华人民共和国招标投标法实施条例》有关规定进行处理。</w:t>
      </w:r>
    </w:p>
    <w:p>
      <w:pPr>
        <w:pStyle w:val="4"/>
        <w:keepNext w:val="0"/>
        <w:keepLines w:val="0"/>
        <w:jc w:val="both"/>
        <w:rPr>
          <w:color w:val="000000"/>
        </w:rPr>
      </w:pPr>
      <w:r>
        <w:rPr>
          <w:rFonts w:hint="eastAsia"/>
          <w:color w:val="000000"/>
        </w:rPr>
        <w:t>7</w:t>
      </w:r>
      <w:r>
        <w:rPr>
          <w:color w:val="000000"/>
        </w:rPr>
        <w:t>.</w:t>
      </w:r>
      <w:r>
        <w:rPr>
          <w:rFonts w:hint="eastAsia"/>
          <w:color w:val="000000"/>
        </w:rPr>
        <w:t>3</w:t>
      </w:r>
      <w:r>
        <w:rPr>
          <w:color w:val="000000"/>
        </w:rPr>
        <w:t xml:space="preserve"> </w:t>
      </w:r>
      <w:r>
        <w:rPr>
          <w:rFonts w:hint="eastAsia"/>
          <w:color w:val="000000"/>
        </w:rPr>
        <w:t>履约能力的审查（如有）</w:t>
      </w:r>
    </w:p>
    <w:p>
      <w:pPr>
        <w:spacing w:line="400" w:lineRule="exact"/>
        <w:ind w:firstLine="482"/>
        <w:rPr>
          <w:color w:val="000000"/>
        </w:rPr>
      </w:pPr>
      <w:r>
        <w:rPr>
          <w:rFonts w:hint="eastAsia"/>
          <w:color w:val="000000"/>
        </w:rPr>
        <w:t>如果中标候选人的经营、财务状况发生较大变化或者存在违法行为，招标人认为可能影响其履约能力的，将在发出中标通知书前报请行政监督部门后，召集原评标委员会按照招标文件规定的标准和方法审查确认。</w:t>
      </w:r>
    </w:p>
    <w:p>
      <w:pPr>
        <w:pStyle w:val="4"/>
        <w:keepNext w:val="0"/>
        <w:keepLines w:val="0"/>
        <w:jc w:val="both"/>
        <w:rPr>
          <w:color w:val="000000"/>
        </w:rPr>
      </w:pPr>
      <w:r>
        <w:rPr>
          <w:rFonts w:hint="eastAsia"/>
          <w:color w:val="000000"/>
        </w:rPr>
        <w:t>7.4中标结果公告</w:t>
      </w:r>
    </w:p>
    <w:p>
      <w:pPr>
        <w:spacing w:line="400" w:lineRule="exact"/>
        <w:ind w:firstLine="482"/>
        <w:rPr>
          <w:color w:val="000000"/>
        </w:rPr>
      </w:pPr>
      <w:r>
        <w:rPr>
          <w:rFonts w:hint="eastAsia"/>
          <w:color w:val="000000"/>
        </w:rPr>
        <w:t>7.4.1招标人确定中标人后，应及时在</w:t>
      </w:r>
      <w:r>
        <w:rPr>
          <w:color w:val="000000"/>
        </w:rPr>
        <w:t>网</w:t>
      </w:r>
      <w:r>
        <w:rPr>
          <w:rFonts w:hint="eastAsia"/>
          <w:color w:val="000000"/>
        </w:rPr>
        <w:t>上发布中标结果公告（公告期为3日），告知所有未中标的投标人，并在本章第3.3款规定的投标有效期内，以书面形式向中标人发出中标通知书。</w:t>
      </w:r>
    </w:p>
    <w:p>
      <w:pPr>
        <w:pStyle w:val="4"/>
        <w:keepNext w:val="0"/>
        <w:keepLines w:val="0"/>
        <w:jc w:val="both"/>
        <w:rPr>
          <w:color w:val="000000"/>
        </w:rPr>
      </w:pPr>
      <w:r>
        <w:rPr>
          <w:rFonts w:hint="eastAsia"/>
          <w:color w:val="000000"/>
        </w:rPr>
        <w:t>7.5 履约保证金</w:t>
      </w:r>
    </w:p>
    <w:p>
      <w:pPr>
        <w:spacing w:line="400" w:lineRule="exact"/>
        <w:ind w:firstLine="482"/>
        <w:rPr>
          <w:color w:val="000000"/>
        </w:rPr>
      </w:pPr>
      <w:r>
        <w:rPr>
          <w:rFonts w:hint="eastAsia"/>
          <w:color w:val="000000"/>
        </w:rPr>
        <w:t>7.5.1 在签订合同前，中标人应按投标人须知前附表规定的金额、担保形式和招标文件第四章“合同条款及格式”规定的履约保证金格式或者事先经过招标人书面认可的履约保证金格式向招标人提交履约担保。联合体中标的，其履约保证金由牵头人递交，并应符合投标人须知前附表的规定。</w:t>
      </w:r>
    </w:p>
    <w:p>
      <w:pPr>
        <w:spacing w:line="400" w:lineRule="exact"/>
        <w:ind w:firstLine="482"/>
        <w:rPr>
          <w:color w:val="000000"/>
        </w:rPr>
      </w:pPr>
      <w:r>
        <w:rPr>
          <w:rFonts w:hint="eastAsia"/>
          <w:color w:val="000000"/>
        </w:rPr>
        <w:t>7.5.2 中标人不能按本章第7.5.1项要求提交履约保证金的，视为放弃中标，其投标保证金不予退还，给招标人造成的损失超过投标保证金数额的，中标人还应当对超过部分予以赔偿。</w:t>
      </w:r>
    </w:p>
    <w:p>
      <w:pPr>
        <w:pStyle w:val="4"/>
        <w:keepNext w:val="0"/>
        <w:keepLines w:val="0"/>
        <w:jc w:val="both"/>
        <w:rPr>
          <w:color w:val="000000"/>
        </w:rPr>
      </w:pPr>
      <w:r>
        <w:rPr>
          <w:rFonts w:hint="eastAsia"/>
          <w:color w:val="000000"/>
        </w:rPr>
        <w:t>7.6 签订合同</w:t>
      </w:r>
    </w:p>
    <w:p>
      <w:pPr>
        <w:spacing w:line="400" w:lineRule="exact"/>
        <w:ind w:firstLine="482"/>
        <w:rPr>
          <w:color w:val="000000"/>
        </w:rPr>
      </w:pPr>
      <w:r>
        <w:rPr>
          <w:rFonts w:hint="eastAsia"/>
          <w:color w:val="000000"/>
        </w:rPr>
        <w:t xml:space="preserve">7.6.1 招标人和中标人应当在投标有效期内并自中标通知书发出之日起30日内，根据招标文件和中标人的投标文件订立书面合同。中标人无正当理由拒签合同或在签订合同时向招标人提出附加条件的，招标人取消其中标资格，其投标保证金不予退还；给招标人造成的损失超过投标保证金数额的，中标人还应当对超过部分予以赔偿。 </w:t>
      </w:r>
    </w:p>
    <w:p>
      <w:pPr>
        <w:spacing w:line="400" w:lineRule="exact"/>
        <w:ind w:firstLine="482"/>
        <w:rPr>
          <w:color w:val="000000"/>
        </w:rPr>
      </w:pPr>
      <w:r>
        <w:rPr>
          <w:rFonts w:hint="eastAsia"/>
          <w:color w:val="000000"/>
        </w:rPr>
        <w:t>7.6.2 发出中标通知书后，招标人无正当理由拒签合同的，招标人向中标人退还投标保证金；给中标人造成损失的，还应当赔偿损失。</w:t>
      </w:r>
    </w:p>
    <w:p>
      <w:pPr>
        <w:spacing w:line="400" w:lineRule="exact"/>
        <w:ind w:firstLine="482"/>
        <w:rPr>
          <w:color w:val="000000"/>
        </w:rPr>
      </w:pPr>
      <w:r>
        <w:rPr>
          <w:rFonts w:hint="eastAsia"/>
          <w:color w:val="000000"/>
        </w:rPr>
        <w:t>7.6.3 签约合同价的确定原则如下：</w:t>
      </w:r>
    </w:p>
    <w:p>
      <w:pPr>
        <w:spacing w:line="400" w:lineRule="exact"/>
        <w:ind w:firstLine="482"/>
        <w:rPr>
          <w:color w:val="000000"/>
        </w:rPr>
      </w:pPr>
      <w:r>
        <w:rPr>
          <w:rFonts w:hint="eastAsia"/>
          <w:color w:val="000000"/>
        </w:rPr>
        <w:t>开标时投标函中大写投标总价应为签约合同价。按照第三章“评标办法”的规定，如投标报价有算术错误的，修正的价格经投标人书面确认后，以修正后的投标总价为签约合同价。</w:t>
      </w:r>
    </w:p>
    <w:p>
      <w:pPr>
        <w:pStyle w:val="3"/>
        <w:jc w:val="both"/>
        <w:rPr>
          <w:color w:val="000000"/>
        </w:rPr>
      </w:pPr>
      <w:bookmarkStart w:id="44" w:name="_Toc18672566"/>
      <w:bookmarkStart w:id="45" w:name="_Toc522293513"/>
      <w:r>
        <w:rPr>
          <w:rFonts w:hint="eastAsia"/>
          <w:color w:val="000000"/>
        </w:rPr>
        <w:t>8. 重新招标、不再招标和终止招标</w:t>
      </w:r>
      <w:bookmarkEnd w:id="44"/>
      <w:bookmarkEnd w:id="45"/>
    </w:p>
    <w:p>
      <w:pPr>
        <w:pStyle w:val="4"/>
        <w:keepNext w:val="0"/>
        <w:keepLines w:val="0"/>
        <w:jc w:val="both"/>
        <w:rPr>
          <w:color w:val="000000"/>
        </w:rPr>
      </w:pPr>
      <w:r>
        <w:rPr>
          <w:rFonts w:hint="eastAsia"/>
          <w:color w:val="000000"/>
        </w:rPr>
        <w:t>8.1 重新招标</w:t>
      </w:r>
    </w:p>
    <w:p>
      <w:pPr>
        <w:spacing w:line="400" w:lineRule="exact"/>
        <w:ind w:firstLine="482"/>
        <w:rPr>
          <w:color w:val="000000"/>
        </w:rPr>
      </w:pPr>
      <w:r>
        <w:rPr>
          <w:rFonts w:hint="eastAsia"/>
          <w:color w:val="000000"/>
        </w:rPr>
        <w:t>有下列情形之一的，招标人将重新招标：</w:t>
      </w:r>
    </w:p>
    <w:p>
      <w:pPr>
        <w:spacing w:line="400" w:lineRule="exact"/>
        <w:ind w:firstLine="482"/>
        <w:rPr>
          <w:color w:val="000000"/>
        </w:rPr>
      </w:pPr>
      <w:r>
        <w:rPr>
          <w:rFonts w:hint="eastAsia"/>
          <w:color w:val="000000"/>
        </w:rPr>
        <w:t>（1）投标截止时间止，投标人少于3个的；</w:t>
      </w:r>
    </w:p>
    <w:p>
      <w:pPr>
        <w:spacing w:line="400" w:lineRule="exact"/>
        <w:ind w:firstLine="482"/>
        <w:rPr>
          <w:color w:val="000000"/>
        </w:rPr>
      </w:pPr>
      <w:r>
        <w:rPr>
          <w:rFonts w:hint="eastAsia"/>
          <w:color w:val="000000"/>
        </w:rPr>
        <w:t>（2）经评标委员会评审后否决所有投标的；</w:t>
      </w:r>
    </w:p>
    <w:p>
      <w:pPr>
        <w:spacing w:line="400" w:lineRule="exact"/>
        <w:ind w:firstLine="482"/>
        <w:rPr>
          <w:color w:val="000000"/>
        </w:rPr>
      </w:pPr>
      <w:r>
        <w:rPr>
          <w:rFonts w:hint="eastAsia"/>
          <w:color w:val="000000"/>
        </w:rPr>
        <w:t>（3）除非已经产生中标候选人，在投标有效期内同意延长投标有效期的投标人少于三个的；</w:t>
      </w:r>
    </w:p>
    <w:p>
      <w:pPr>
        <w:spacing w:line="400" w:lineRule="exact"/>
        <w:ind w:firstLine="482"/>
        <w:rPr>
          <w:color w:val="000000"/>
        </w:rPr>
      </w:pPr>
      <w:r>
        <w:rPr>
          <w:rFonts w:hint="eastAsia"/>
          <w:color w:val="000000"/>
        </w:rPr>
        <w:t>（4）第一中标候选人或所有中标候选人均未与招标人签订合同的；</w:t>
      </w:r>
    </w:p>
    <w:p>
      <w:pPr>
        <w:spacing w:line="400" w:lineRule="exact"/>
        <w:ind w:firstLine="482"/>
        <w:rPr>
          <w:color w:val="000000"/>
        </w:rPr>
      </w:pPr>
      <w:r>
        <w:rPr>
          <w:rFonts w:hint="eastAsia"/>
          <w:color w:val="000000"/>
        </w:rPr>
        <w:t>（5）法律、法规规定的其他情形。</w:t>
      </w:r>
    </w:p>
    <w:p>
      <w:pPr>
        <w:pStyle w:val="4"/>
        <w:keepNext w:val="0"/>
        <w:keepLines w:val="0"/>
        <w:jc w:val="both"/>
        <w:rPr>
          <w:color w:val="000000"/>
        </w:rPr>
      </w:pPr>
      <w:r>
        <w:rPr>
          <w:rFonts w:hint="eastAsia"/>
          <w:color w:val="000000"/>
        </w:rPr>
        <w:t>8.2 不再招标</w:t>
      </w:r>
    </w:p>
    <w:p>
      <w:pPr>
        <w:spacing w:line="400" w:lineRule="exact"/>
        <w:ind w:firstLine="482"/>
        <w:rPr>
          <w:color w:val="000000"/>
        </w:rPr>
      </w:pPr>
      <w:r>
        <w:rPr>
          <w:rFonts w:hint="eastAsia"/>
          <w:color w:val="000000"/>
        </w:rPr>
        <w:t>重新招标后投标人仍少于3个或者所有投标被否决的，经各公司分管招标领导批准，报集团招标管理部备案后可以不再进行招标。</w:t>
      </w:r>
    </w:p>
    <w:p>
      <w:pPr>
        <w:pStyle w:val="4"/>
        <w:keepNext w:val="0"/>
        <w:keepLines w:val="0"/>
        <w:jc w:val="both"/>
        <w:rPr>
          <w:color w:val="000000"/>
        </w:rPr>
      </w:pPr>
      <w:r>
        <w:rPr>
          <w:rFonts w:hint="eastAsia"/>
          <w:color w:val="000000"/>
        </w:rPr>
        <w:t>8.3 终止招标</w:t>
      </w:r>
    </w:p>
    <w:p>
      <w:pPr>
        <w:spacing w:line="400" w:lineRule="exact"/>
        <w:ind w:firstLine="482"/>
        <w:rPr>
          <w:color w:val="000000"/>
        </w:rPr>
      </w:pPr>
      <w:r>
        <w:rPr>
          <w:rFonts w:hint="eastAsia"/>
          <w:color w:val="000000"/>
        </w:rPr>
        <w:t>因不可抗力等原因，招标人终止招标的，将及时发布公告，或者以书面形式通知被邀请的或者已经获取招标文件的潜在投标人。已经收取投标保证金的，招标人将及时退还所收取的投标保证金及银行同期存款利息。</w:t>
      </w:r>
    </w:p>
    <w:p>
      <w:pPr>
        <w:pStyle w:val="3"/>
        <w:jc w:val="both"/>
        <w:rPr>
          <w:color w:val="000000"/>
        </w:rPr>
      </w:pPr>
      <w:bookmarkStart w:id="46" w:name="_Toc18672567"/>
      <w:bookmarkStart w:id="47" w:name="_Toc522293514"/>
      <w:r>
        <w:rPr>
          <w:rFonts w:hint="eastAsia"/>
          <w:color w:val="000000"/>
        </w:rPr>
        <w:t>9. 纪律和监督</w:t>
      </w:r>
      <w:bookmarkEnd w:id="46"/>
      <w:bookmarkEnd w:id="47"/>
    </w:p>
    <w:p>
      <w:pPr>
        <w:pStyle w:val="4"/>
        <w:keepNext w:val="0"/>
        <w:keepLines w:val="0"/>
        <w:jc w:val="both"/>
        <w:rPr>
          <w:color w:val="000000"/>
        </w:rPr>
      </w:pPr>
      <w:r>
        <w:rPr>
          <w:rFonts w:hint="eastAsia"/>
          <w:color w:val="000000"/>
        </w:rPr>
        <w:t>9.1 对招标人的纪律要求</w:t>
      </w:r>
    </w:p>
    <w:p>
      <w:pPr>
        <w:spacing w:line="400" w:lineRule="exact"/>
        <w:ind w:firstLine="482"/>
        <w:rPr>
          <w:color w:val="000000"/>
        </w:rPr>
      </w:pPr>
      <w:r>
        <w:rPr>
          <w:rFonts w:hint="eastAsia"/>
          <w:color w:val="000000"/>
        </w:rPr>
        <w:t>招标人不得泄漏招标投标活动中应当保密的情况和资料，不得与投标人串通损害国家利益、社会公共利益或者他人合法权益。</w:t>
      </w:r>
    </w:p>
    <w:p>
      <w:pPr>
        <w:pStyle w:val="4"/>
        <w:keepNext w:val="0"/>
        <w:keepLines w:val="0"/>
        <w:jc w:val="both"/>
        <w:rPr>
          <w:color w:val="000000"/>
        </w:rPr>
      </w:pPr>
      <w:r>
        <w:rPr>
          <w:rFonts w:hint="eastAsia"/>
          <w:color w:val="000000"/>
        </w:rPr>
        <w:t>9.2 对投标人的纪律要求</w:t>
      </w:r>
    </w:p>
    <w:p>
      <w:pPr>
        <w:spacing w:line="400" w:lineRule="exact"/>
        <w:ind w:firstLine="482"/>
        <w:rPr>
          <w:color w:val="000000"/>
        </w:rPr>
      </w:pPr>
      <w:r>
        <w:rPr>
          <w:rFonts w:hint="eastAsia"/>
          <w:color w:val="000000"/>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4"/>
        <w:keepNext w:val="0"/>
        <w:keepLines w:val="0"/>
        <w:jc w:val="both"/>
        <w:rPr>
          <w:color w:val="000000"/>
        </w:rPr>
      </w:pPr>
      <w:r>
        <w:rPr>
          <w:rFonts w:hint="eastAsia"/>
          <w:color w:val="000000"/>
        </w:rPr>
        <w:t>9.3 对评标委员会成员的纪律要求</w:t>
      </w:r>
    </w:p>
    <w:p>
      <w:pPr>
        <w:spacing w:line="400" w:lineRule="exact"/>
        <w:ind w:firstLine="482"/>
        <w:rPr>
          <w:color w:val="000000"/>
        </w:rPr>
      </w:pPr>
      <w:r>
        <w:rPr>
          <w:rFonts w:hint="eastAsia"/>
          <w:color w:val="000000"/>
        </w:rPr>
        <w:t>评标委员会成员不得与任何投标人或者与招标结果有利害关系的人进行私下接触，不得收受投标人、中介人、其他利害关系人的财物或者其他好处，不得向他人透漏对投标文件的评审和比较、中标候选人的推荐情况以及评标有关的其他情况。在评标活动中，评标委员会成员不得应当回避而不回避，不得擅离职守，影响评标程序正常进行，不得向招标人征询其确定中标人的意向，不得接受任何单位或者个人明示或者暗示提出的倾向或者排斥特定投标人的要求，不得对依法应当否决的投标不提出否决意见，不得暗示或者诱导投标人作出澄清、说明或者接受投标人主动提出的澄清、说明；不得使用第三章“评标办法”没有规定的评审因素和标准进行评标。</w:t>
      </w:r>
    </w:p>
    <w:p>
      <w:pPr>
        <w:pStyle w:val="4"/>
        <w:keepNext w:val="0"/>
        <w:keepLines w:val="0"/>
        <w:jc w:val="both"/>
        <w:rPr>
          <w:color w:val="000000"/>
        </w:rPr>
      </w:pPr>
      <w:r>
        <w:rPr>
          <w:rFonts w:hint="eastAsia"/>
          <w:color w:val="000000"/>
        </w:rPr>
        <w:t>9.4 对与评标活动有关的工作人员的纪律要求</w:t>
      </w:r>
    </w:p>
    <w:p>
      <w:pPr>
        <w:spacing w:line="400" w:lineRule="exact"/>
        <w:ind w:firstLine="482"/>
        <w:rPr>
          <w:color w:val="000000"/>
        </w:rPr>
      </w:pPr>
      <w:r>
        <w:rPr>
          <w:rFonts w:hint="eastAsia"/>
          <w:color w:val="000000"/>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pStyle w:val="4"/>
        <w:keepNext w:val="0"/>
        <w:keepLines w:val="0"/>
        <w:jc w:val="both"/>
        <w:rPr>
          <w:color w:val="000000"/>
        </w:rPr>
      </w:pPr>
      <w:r>
        <w:rPr>
          <w:rFonts w:hint="eastAsia"/>
          <w:color w:val="000000"/>
        </w:rPr>
        <w:t>9.5 投诉</w:t>
      </w:r>
    </w:p>
    <w:p>
      <w:pPr>
        <w:spacing w:line="400" w:lineRule="exact"/>
        <w:ind w:firstLine="482"/>
        <w:rPr>
          <w:color w:val="000000"/>
        </w:rPr>
      </w:pPr>
      <w:r>
        <w:rPr>
          <w:rFonts w:hint="eastAsia"/>
          <w:color w:val="000000"/>
        </w:rPr>
        <w:t>本次招标投标活动及其相关当事人应当接受建投集团纪检监察监督部门的监督。</w:t>
      </w:r>
    </w:p>
    <w:p>
      <w:pPr>
        <w:spacing w:line="400" w:lineRule="exact"/>
        <w:ind w:firstLine="482"/>
        <w:rPr>
          <w:color w:val="000000"/>
        </w:rPr>
      </w:pPr>
      <w:r>
        <w:rPr>
          <w:rFonts w:hint="eastAsia"/>
          <w:color w:val="000000"/>
        </w:rPr>
        <w:t>投标人和其他利害关系人认为本次招标活动违反法律、法规和规章规定的，有权自知道或者应当知道之日起3日内向有关行政监督部门投诉，其中对招标文件的内容（包括招标控制价）、开标、评标结果进行投诉的，应当按本章第2.3款、第3.2.3项、第5.4款、第7.1.2项的规定先向招标人提出异议后，方可向有关行政监督部门投诉，异议答复期不计算在规定的</w:t>
      </w:r>
      <w:r>
        <w:rPr>
          <w:color w:val="000000"/>
        </w:rPr>
        <w:t>投诉时效</w:t>
      </w:r>
      <w:r>
        <w:rPr>
          <w:rFonts w:hint="eastAsia"/>
          <w:color w:val="000000"/>
        </w:rPr>
        <w:t>期限内。</w:t>
      </w:r>
    </w:p>
    <w:p>
      <w:pPr>
        <w:spacing w:line="400" w:lineRule="exact"/>
        <w:ind w:firstLine="482"/>
        <w:rPr>
          <w:color w:val="000000"/>
        </w:rPr>
      </w:pPr>
      <w:r>
        <w:rPr>
          <w:rFonts w:hint="eastAsia"/>
          <w:color w:val="000000"/>
        </w:rPr>
        <w:t>投标人和其他利害关系人的投诉应按照</w:t>
      </w:r>
      <w:r>
        <w:rPr>
          <w:color w:val="000000"/>
        </w:rPr>
        <w:t>《湖北省公共资源招标投标投诉处理办法》</w:t>
      </w:r>
      <w:r>
        <w:rPr>
          <w:rFonts w:hint="eastAsia"/>
          <w:color w:val="000000"/>
        </w:rPr>
        <w:t>的规定进行。</w:t>
      </w:r>
    </w:p>
    <w:p>
      <w:pPr>
        <w:spacing w:line="400" w:lineRule="exact"/>
        <w:ind w:firstLine="482"/>
        <w:rPr>
          <w:color w:val="000000"/>
        </w:rPr>
      </w:pPr>
      <w:r>
        <w:rPr>
          <w:rFonts w:hint="eastAsia"/>
          <w:color w:val="000000"/>
        </w:rPr>
        <w:t>有关行政监督部门的联系方式见投标人须知前附表。</w:t>
      </w:r>
    </w:p>
    <w:p>
      <w:pPr>
        <w:spacing w:line="400" w:lineRule="exact"/>
        <w:ind w:firstLine="482"/>
        <w:rPr>
          <w:color w:val="000000"/>
        </w:rPr>
      </w:pPr>
      <w:r>
        <w:rPr>
          <w:rFonts w:hint="eastAsia"/>
          <w:color w:val="000000"/>
        </w:rPr>
        <w:t>。</w:t>
      </w:r>
    </w:p>
    <w:p>
      <w:pPr>
        <w:pStyle w:val="3"/>
        <w:rPr>
          <w:color w:val="000000"/>
        </w:rPr>
      </w:pPr>
      <w:r>
        <w:rPr>
          <w:b w:val="0"/>
          <w:bCs w:val="0"/>
          <w:color w:val="000000"/>
          <w:sz w:val="21"/>
          <w:szCs w:val="24"/>
        </w:rPr>
        <w:br w:type="page"/>
      </w:r>
      <w:bookmarkStart w:id="48" w:name="_Toc18672568"/>
      <w:bookmarkStart w:id="49" w:name="_Toc522293516"/>
      <w:r>
        <w:rPr>
          <w:rFonts w:hint="eastAsia"/>
          <w:color w:val="000000"/>
        </w:rPr>
        <w:t>附表一：招标结果通知书</w:t>
      </w:r>
      <w:bookmarkEnd w:id="48"/>
      <w:bookmarkEnd w:id="49"/>
    </w:p>
    <w:p>
      <w:pPr>
        <w:rPr>
          <w:b/>
          <w:color w:val="000000"/>
        </w:rPr>
      </w:pPr>
    </w:p>
    <w:p>
      <w:pPr>
        <w:rPr>
          <w:color w:val="000000"/>
        </w:rPr>
      </w:pPr>
      <w:r>
        <w:rPr>
          <w:rFonts w:hint="eastAsia"/>
          <w:color w:val="000000"/>
        </w:rPr>
        <w:t>_________________（未中标人名称）：</w:t>
      </w:r>
    </w:p>
    <w:p>
      <w:pPr>
        <w:rPr>
          <w:color w:val="000000"/>
        </w:rPr>
      </w:pPr>
    </w:p>
    <w:p>
      <w:pPr>
        <w:spacing w:line="500" w:lineRule="exact"/>
        <w:ind w:firstLine="482"/>
        <w:rPr>
          <w:color w:val="000000"/>
        </w:rPr>
      </w:pPr>
      <w:r>
        <w:rPr>
          <w:rFonts w:hint="eastAsia"/>
          <w:color w:val="000000"/>
        </w:rPr>
        <w:t>我方已接受</w:t>
      </w:r>
      <w:r>
        <w:rPr>
          <w:rFonts w:hint="eastAsia"/>
          <w:color w:val="000000"/>
          <w:u w:val="single"/>
        </w:rPr>
        <w:t xml:space="preserve">                   </w:t>
      </w:r>
      <w:r>
        <w:rPr>
          <w:rFonts w:hint="eastAsia"/>
          <w:color w:val="000000"/>
        </w:rPr>
        <w:t>（中标人名称）于</w:t>
      </w:r>
      <w:r>
        <w:rPr>
          <w:rFonts w:hint="eastAsia"/>
          <w:color w:val="000000"/>
          <w:u w:val="single"/>
        </w:rPr>
        <w:t xml:space="preserve">                       </w:t>
      </w:r>
      <w:r>
        <w:rPr>
          <w:rFonts w:hint="eastAsia"/>
          <w:color w:val="000000"/>
        </w:rPr>
        <w:t>（投标日期）所递交的</w:t>
      </w:r>
      <w:r>
        <w:rPr>
          <w:rFonts w:hint="eastAsia"/>
          <w:color w:val="000000"/>
          <w:u w:val="single"/>
        </w:rPr>
        <w:t xml:space="preserve">                  </w:t>
      </w:r>
      <w:r>
        <w:rPr>
          <w:rFonts w:hint="eastAsia"/>
          <w:color w:val="000000"/>
        </w:rPr>
        <w:t>标段施工投标文件，确定</w:t>
      </w:r>
      <w:r>
        <w:rPr>
          <w:rFonts w:hint="eastAsia"/>
          <w:color w:val="000000"/>
          <w:u w:val="single"/>
        </w:rPr>
        <w:t xml:space="preserve">         </w:t>
      </w:r>
      <w:r>
        <w:rPr>
          <w:rFonts w:hint="eastAsia"/>
          <w:color w:val="000000"/>
        </w:rPr>
        <w:t>（中标人名称）为中标人。</w:t>
      </w:r>
    </w:p>
    <w:p>
      <w:pPr>
        <w:spacing w:line="500" w:lineRule="exact"/>
        <w:ind w:firstLine="482"/>
        <w:rPr>
          <w:color w:val="000000"/>
        </w:rPr>
      </w:pPr>
    </w:p>
    <w:p>
      <w:pPr>
        <w:spacing w:line="500" w:lineRule="exact"/>
        <w:ind w:firstLine="482"/>
        <w:rPr>
          <w:color w:val="000000"/>
        </w:rPr>
      </w:pPr>
      <w:r>
        <w:rPr>
          <w:rFonts w:hint="eastAsia"/>
          <w:color w:val="000000"/>
        </w:rPr>
        <w:t>感谢你单位对我方工作的大力支持!</w:t>
      </w:r>
    </w:p>
    <w:p>
      <w:pPr>
        <w:spacing w:line="500" w:lineRule="exact"/>
        <w:ind w:firstLine="482"/>
        <w:rPr>
          <w:color w:val="000000"/>
        </w:rPr>
      </w:pPr>
    </w:p>
    <w:p>
      <w:pPr>
        <w:spacing w:line="500" w:lineRule="exact"/>
        <w:ind w:firstLine="482"/>
        <w:rPr>
          <w:color w:val="000000"/>
        </w:rPr>
      </w:pPr>
    </w:p>
    <w:p>
      <w:pPr>
        <w:spacing w:line="500" w:lineRule="exact"/>
        <w:ind w:firstLine="482"/>
        <w:rPr>
          <w:color w:val="000000"/>
        </w:rPr>
      </w:pPr>
    </w:p>
    <w:p>
      <w:pPr>
        <w:spacing w:line="500" w:lineRule="exact"/>
        <w:ind w:firstLine="482"/>
        <w:rPr>
          <w:color w:val="000000"/>
        </w:rPr>
      </w:pPr>
    </w:p>
    <w:p>
      <w:pPr>
        <w:spacing w:line="500" w:lineRule="exact"/>
        <w:ind w:firstLine="5310" w:firstLineChars="2529"/>
        <w:rPr>
          <w:color w:val="000000"/>
        </w:rPr>
      </w:pPr>
      <w:r>
        <w:rPr>
          <w:rFonts w:hint="eastAsia"/>
          <w:color w:val="000000"/>
        </w:rPr>
        <w:t>招标机构：</w:t>
      </w:r>
      <w:r>
        <w:rPr>
          <w:rFonts w:hint="eastAsia"/>
          <w:color w:val="000000"/>
          <w:u w:val="single"/>
        </w:rPr>
        <w:t xml:space="preserve">               </w:t>
      </w:r>
      <w:r>
        <w:rPr>
          <w:rFonts w:hint="eastAsia"/>
          <w:color w:val="000000"/>
        </w:rPr>
        <w:t xml:space="preserve">（盖单位章） </w:t>
      </w:r>
    </w:p>
    <w:p>
      <w:pPr>
        <w:spacing w:line="500" w:lineRule="exact"/>
        <w:ind w:firstLine="482"/>
        <w:rPr>
          <w:color w:val="000000"/>
        </w:rPr>
      </w:pPr>
      <w:r>
        <w:rPr>
          <w:rFonts w:hint="eastAsia"/>
          <w:color w:val="000000"/>
        </w:rPr>
        <w:t xml:space="preserve">                                                            年       月       日  </w:t>
      </w:r>
    </w:p>
    <w:p>
      <w:pPr>
        <w:rPr>
          <w:color w:val="000000"/>
        </w:rPr>
      </w:pPr>
    </w:p>
    <w:p>
      <w:pPr>
        <w:pStyle w:val="3"/>
        <w:rPr>
          <w:color w:val="000000"/>
        </w:rPr>
      </w:pPr>
      <w:r>
        <w:rPr>
          <w:color w:val="000000"/>
        </w:rPr>
        <w:br w:type="page"/>
      </w:r>
      <w:bookmarkStart w:id="50" w:name="_Toc522293517"/>
      <w:bookmarkStart w:id="51" w:name="_Toc18672569"/>
      <w:r>
        <w:rPr>
          <w:rFonts w:hint="eastAsia"/>
          <w:color w:val="000000"/>
        </w:rPr>
        <w:t>附表二：异议函</w:t>
      </w:r>
      <w:bookmarkEnd w:id="50"/>
      <w:bookmarkEnd w:id="51"/>
    </w:p>
    <w:p>
      <w:pPr>
        <w:spacing w:line="400" w:lineRule="exact"/>
        <w:ind w:firstLine="482"/>
        <w:jc w:val="center"/>
        <w:rPr>
          <w:b/>
          <w:color w:val="000000"/>
        </w:rPr>
      </w:pPr>
      <w:r>
        <w:rPr>
          <w:rFonts w:hint="eastAsia"/>
          <w:b/>
          <w:color w:val="000000"/>
        </w:rPr>
        <w:t>异议函</w:t>
      </w:r>
    </w:p>
    <w:p>
      <w:pPr>
        <w:rPr>
          <w:color w:val="000000"/>
        </w:rPr>
      </w:pPr>
    </w:p>
    <w:p>
      <w:pPr>
        <w:spacing w:line="500" w:lineRule="exact"/>
        <w:rPr>
          <w:color w:val="000000"/>
        </w:rPr>
      </w:pPr>
      <w:r>
        <w:rPr>
          <w:rFonts w:hint="eastAsia"/>
          <w:color w:val="000000"/>
          <w:u w:val="single"/>
        </w:rPr>
        <w:t xml:space="preserve">          </w:t>
      </w:r>
      <w:r>
        <w:rPr>
          <w:rFonts w:hint="eastAsia"/>
          <w:color w:val="000000"/>
        </w:rPr>
        <w:t>(招标机构名称)：</w:t>
      </w:r>
    </w:p>
    <w:p>
      <w:pPr>
        <w:spacing w:line="500" w:lineRule="exact"/>
        <w:rPr>
          <w:color w:val="000000"/>
        </w:rPr>
      </w:pPr>
      <w:r>
        <w:rPr>
          <w:rFonts w:hint="eastAsia"/>
          <w:color w:val="000000"/>
        </w:rPr>
        <w:t>我方已研究（看到）你方发出的</w:t>
      </w: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rPr>
        <w:t>标段招标文件（或中标候选人公示），现对下列问题提出异议，请予以解释：</w:t>
      </w:r>
    </w:p>
    <w:p>
      <w:pPr>
        <w:spacing w:line="500" w:lineRule="exact"/>
        <w:ind w:firstLine="420" w:firstLineChars="200"/>
        <w:rPr>
          <w:color w:val="000000"/>
        </w:rPr>
      </w:pPr>
      <w:r>
        <w:rPr>
          <w:rFonts w:hint="eastAsia"/>
          <w:color w:val="000000"/>
        </w:rPr>
        <w:t>1.……</w:t>
      </w:r>
    </w:p>
    <w:p>
      <w:pPr>
        <w:spacing w:line="500" w:lineRule="exact"/>
        <w:ind w:firstLine="420" w:firstLineChars="200"/>
        <w:rPr>
          <w:color w:val="000000"/>
        </w:rPr>
      </w:pPr>
      <w:r>
        <w:rPr>
          <w:rFonts w:hint="eastAsia"/>
          <w:color w:val="000000"/>
        </w:rPr>
        <w:t>2.……</w:t>
      </w:r>
    </w:p>
    <w:p>
      <w:pPr>
        <w:spacing w:line="500" w:lineRule="exact"/>
        <w:rPr>
          <w:color w:val="000000"/>
        </w:rPr>
      </w:pPr>
    </w:p>
    <w:p>
      <w:pPr>
        <w:spacing w:line="500" w:lineRule="exact"/>
        <w:ind w:firstLine="3150" w:firstLineChars="1500"/>
        <w:rPr>
          <w:color w:val="000000"/>
        </w:rPr>
      </w:pPr>
      <w:r>
        <w:rPr>
          <w:rFonts w:hint="eastAsia"/>
          <w:color w:val="000000"/>
        </w:rPr>
        <w:t>投标人或利害关系人：</w:t>
      </w:r>
      <w:r>
        <w:rPr>
          <w:rFonts w:hint="eastAsia"/>
          <w:color w:val="000000"/>
          <w:u w:val="single"/>
        </w:rPr>
        <w:t xml:space="preserve">                </w:t>
      </w:r>
      <w:r>
        <w:rPr>
          <w:rFonts w:hint="eastAsia"/>
          <w:color w:val="000000"/>
        </w:rPr>
        <w:t>(盖单位章)</w:t>
      </w:r>
    </w:p>
    <w:p>
      <w:pPr>
        <w:spacing w:line="500" w:lineRule="exact"/>
        <w:ind w:firstLine="3150" w:firstLineChars="1500"/>
        <w:rPr>
          <w:color w:val="000000"/>
        </w:rPr>
      </w:pPr>
      <w:r>
        <w:rPr>
          <w:rFonts w:hint="eastAsia"/>
          <w:color w:val="000000"/>
        </w:rPr>
        <w:t>法定代表人或其委托代理人：</w:t>
      </w:r>
      <w:r>
        <w:rPr>
          <w:rFonts w:hint="eastAsia"/>
          <w:color w:val="000000"/>
          <w:u w:val="single"/>
        </w:rPr>
        <w:t xml:space="preserve">              </w:t>
      </w:r>
      <w:r>
        <w:rPr>
          <w:rFonts w:hint="eastAsia"/>
          <w:color w:val="000000"/>
        </w:rPr>
        <w:t>(签章)</w:t>
      </w:r>
    </w:p>
    <w:p>
      <w:pPr>
        <w:spacing w:line="500" w:lineRule="exact"/>
        <w:ind w:firstLine="5985" w:firstLineChars="2850"/>
        <w:rPr>
          <w:color w:val="000000"/>
        </w:rPr>
      </w:pPr>
      <w:r>
        <w:rPr>
          <w:rFonts w:hint="eastAsia"/>
          <w:color w:val="000000"/>
          <w:u w:val="single"/>
        </w:rPr>
        <w:t xml:space="preserve">      </w:t>
      </w:r>
      <w:r>
        <w:rPr>
          <w:rFonts w:hint="eastAsia"/>
          <w:color w:val="000000"/>
        </w:rPr>
        <w:t>年</w:t>
      </w:r>
      <w:r>
        <w:rPr>
          <w:rFonts w:hint="eastAsia"/>
          <w:color w:val="000000"/>
          <w:u w:val="single"/>
        </w:rPr>
        <w:t xml:space="preserve">   </w:t>
      </w:r>
      <w:r>
        <w:rPr>
          <w:rFonts w:hint="eastAsia"/>
          <w:color w:val="000000"/>
        </w:rPr>
        <w:t>月</w:t>
      </w:r>
      <w:r>
        <w:rPr>
          <w:rFonts w:hint="eastAsia"/>
          <w:color w:val="000000"/>
          <w:u w:val="single"/>
        </w:rPr>
        <w:t xml:space="preserve">   </w:t>
      </w:r>
      <w:r>
        <w:rPr>
          <w:rFonts w:hint="eastAsia"/>
          <w:color w:val="000000"/>
        </w:rPr>
        <w:t>日</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r>
        <w:rPr>
          <w:rFonts w:hint="eastAsia"/>
          <w:color w:val="000000"/>
        </w:rPr>
        <w:t>备注：投标人或利害关系人对招标文件的内容或对中标候选人公示有异议，要求招标机构解释的，适用本格式。</w:t>
      </w:r>
    </w:p>
    <w:p>
      <w:pPr>
        <w:rPr>
          <w:color w:val="000000"/>
        </w:rPr>
      </w:pPr>
    </w:p>
    <w:p>
      <w:pPr>
        <w:rPr>
          <w:color w:val="000000"/>
        </w:rPr>
      </w:pPr>
    </w:p>
    <w:p>
      <w:pPr>
        <w:rPr>
          <w:color w:val="000000"/>
        </w:rPr>
      </w:pPr>
    </w:p>
    <w:p>
      <w:pPr>
        <w:pStyle w:val="3"/>
        <w:rPr>
          <w:color w:val="000000"/>
        </w:rPr>
      </w:pPr>
      <w:r>
        <w:rPr>
          <w:color w:val="000000"/>
        </w:rPr>
        <w:br w:type="page"/>
      </w:r>
      <w:bookmarkStart w:id="52" w:name="_Toc522293518"/>
      <w:bookmarkStart w:id="53" w:name="_Toc18672570"/>
      <w:r>
        <w:rPr>
          <w:rFonts w:hint="eastAsia"/>
          <w:color w:val="000000"/>
        </w:rPr>
        <w:t>附表三：异议答复函</w:t>
      </w:r>
      <w:bookmarkEnd w:id="52"/>
      <w:bookmarkEnd w:id="53"/>
    </w:p>
    <w:p>
      <w:pPr>
        <w:spacing w:line="400" w:lineRule="exact"/>
        <w:ind w:firstLine="482"/>
        <w:jc w:val="center"/>
        <w:rPr>
          <w:b/>
          <w:color w:val="000000"/>
        </w:rPr>
      </w:pPr>
      <w:r>
        <w:rPr>
          <w:rFonts w:hint="eastAsia"/>
          <w:b/>
          <w:color w:val="000000"/>
        </w:rPr>
        <w:t>异议答复函</w:t>
      </w:r>
    </w:p>
    <w:p>
      <w:pPr>
        <w:spacing w:line="400" w:lineRule="exact"/>
        <w:rPr>
          <w:b/>
          <w:color w:val="000000"/>
        </w:rPr>
      </w:pPr>
    </w:p>
    <w:p>
      <w:pPr>
        <w:spacing w:line="500" w:lineRule="exact"/>
        <w:ind w:firstLine="105" w:firstLineChars="50"/>
        <w:rPr>
          <w:color w:val="000000"/>
        </w:rPr>
      </w:pPr>
      <w:r>
        <w:rPr>
          <w:rFonts w:hint="eastAsia"/>
          <w:color w:val="000000"/>
          <w:u w:val="single"/>
        </w:rPr>
        <w:t xml:space="preserve">             </w:t>
      </w:r>
      <w:r>
        <w:rPr>
          <w:rFonts w:hint="eastAsia"/>
          <w:color w:val="000000"/>
        </w:rPr>
        <w:t>(投标人或利害关系人名称)：</w:t>
      </w:r>
    </w:p>
    <w:p>
      <w:pPr>
        <w:spacing w:line="500" w:lineRule="exact"/>
        <w:rPr>
          <w:color w:val="000000"/>
        </w:rPr>
      </w:pPr>
      <w:r>
        <w:rPr>
          <w:rFonts w:hint="eastAsia"/>
          <w:color w:val="000000"/>
        </w:rPr>
        <w:t>你方提出的有关</w:t>
      </w:r>
      <w:r>
        <w:rPr>
          <w:rFonts w:hint="eastAsia"/>
          <w:color w:val="000000"/>
          <w:u w:val="single"/>
        </w:rPr>
        <w:t xml:space="preserve">                      </w:t>
      </w:r>
      <w:r>
        <w:rPr>
          <w:rFonts w:hint="eastAsia"/>
          <w:color w:val="000000"/>
        </w:rPr>
        <w:t>标段招标文件（或中标候选人公示）的异议</w:t>
      </w:r>
      <w:r>
        <w:rPr>
          <w:color w:val="000000"/>
        </w:rPr>
        <w:t>已收悉</w:t>
      </w:r>
      <w:r>
        <w:rPr>
          <w:rFonts w:hint="eastAsia"/>
          <w:color w:val="000000"/>
        </w:rPr>
        <w:t>，</w:t>
      </w:r>
      <w:r>
        <w:rPr>
          <w:color w:val="000000"/>
        </w:rPr>
        <w:t>现</w:t>
      </w:r>
      <w:r>
        <w:rPr>
          <w:rFonts w:hint="eastAsia"/>
          <w:color w:val="000000"/>
        </w:rPr>
        <w:t>答复如下：</w:t>
      </w:r>
    </w:p>
    <w:p>
      <w:pPr>
        <w:spacing w:line="500" w:lineRule="exact"/>
        <w:rPr>
          <w:color w:val="000000"/>
        </w:rPr>
      </w:pPr>
      <w:r>
        <w:rPr>
          <w:rFonts w:hint="eastAsia"/>
          <w:color w:val="000000"/>
        </w:rPr>
        <w:t>1.……</w:t>
      </w:r>
    </w:p>
    <w:p>
      <w:pPr>
        <w:spacing w:line="500" w:lineRule="exact"/>
        <w:rPr>
          <w:color w:val="000000"/>
        </w:rPr>
      </w:pPr>
      <w:r>
        <w:rPr>
          <w:rFonts w:hint="eastAsia"/>
          <w:color w:val="000000"/>
        </w:rPr>
        <w:t>2.……</w:t>
      </w:r>
    </w:p>
    <w:p>
      <w:pPr>
        <w:spacing w:line="500" w:lineRule="exact"/>
        <w:rPr>
          <w:color w:val="000000"/>
        </w:rPr>
      </w:pPr>
      <w:r>
        <w:rPr>
          <w:rFonts w:hint="eastAsia"/>
          <w:color w:val="000000"/>
        </w:rPr>
        <w:t>……</w:t>
      </w:r>
    </w:p>
    <w:p>
      <w:pPr>
        <w:spacing w:line="500" w:lineRule="exact"/>
        <w:rPr>
          <w:color w:val="000000"/>
        </w:rPr>
      </w:pPr>
    </w:p>
    <w:p>
      <w:pPr>
        <w:spacing w:line="500" w:lineRule="exact"/>
        <w:rPr>
          <w:color w:val="000000"/>
        </w:rPr>
      </w:pPr>
    </w:p>
    <w:p>
      <w:pPr>
        <w:spacing w:line="500" w:lineRule="exact"/>
        <w:rPr>
          <w:color w:val="000000"/>
        </w:rPr>
      </w:pPr>
    </w:p>
    <w:p>
      <w:pPr>
        <w:spacing w:line="500" w:lineRule="exact"/>
        <w:rPr>
          <w:color w:val="000000"/>
        </w:rPr>
      </w:pPr>
      <w:r>
        <w:rPr>
          <w:color w:val="000000"/>
        </w:rPr>
        <w:t xml:space="preserve">                                </w:t>
      </w:r>
      <w:r>
        <w:rPr>
          <w:rFonts w:hint="eastAsia"/>
          <w:color w:val="000000"/>
        </w:rPr>
        <w:t xml:space="preserve">          </w:t>
      </w:r>
      <w:r>
        <w:rPr>
          <w:color w:val="000000"/>
        </w:rPr>
        <w:t>招标</w:t>
      </w:r>
      <w:r>
        <w:rPr>
          <w:rFonts w:hint="eastAsia"/>
          <w:color w:val="000000"/>
        </w:rPr>
        <w:t>机构</w:t>
      </w:r>
      <w:r>
        <w:rPr>
          <w:color w:val="000000"/>
        </w:rPr>
        <w:t xml:space="preserve">： </w:t>
      </w:r>
      <w:r>
        <w:rPr>
          <w:color w:val="000000"/>
          <w:u w:val="single"/>
        </w:rPr>
        <w:t xml:space="preserve">            </w:t>
      </w:r>
      <w:r>
        <w:rPr>
          <w:rFonts w:hint="eastAsia"/>
          <w:color w:val="000000"/>
          <w:u w:val="single"/>
        </w:rPr>
        <w:t xml:space="preserve">  </w:t>
      </w:r>
      <w:r>
        <w:rPr>
          <w:rFonts w:hint="eastAsia"/>
          <w:color w:val="000000"/>
        </w:rPr>
        <w:t xml:space="preserve"> </w:t>
      </w:r>
      <w:r>
        <w:rPr>
          <w:color w:val="000000"/>
        </w:rPr>
        <w:t>（盖单位章）</w:t>
      </w:r>
    </w:p>
    <w:p>
      <w:pPr>
        <w:spacing w:line="500" w:lineRule="exact"/>
        <w:rPr>
          <w:color w:val="000000"/>
        </w:rPr>
      </w:pPr>
    </w:p>
    <w:p>
      <w:pPr>
        <w:spacing w:line="500" w:lineRule="exact"/>
        <w:rPr>
          <w:color w:val="000000"/>
        </w:rPr>
      </w:pPr>
      <w:r>
        <w:rPr>
          <w:color w:val="000000"/>
        </w:rPr>
        <w:t xml:space="preserve">                                    </w:t>
      </w:r>
      <w:r>
        <w:rPr>
          <w:rFonts w:hint="eastAsia"/>
          <w:color w:val="000000"/>
        </w:rPr>
        <w:t xml:space="preserve">              </w:t>
      </w:r>
      <w:r>
        <w:rPr>
          <w:color w:val="000000"/>
          <w:u w:val="single"/>
        </w:rPr>
        <w:t xml:space="preserve">  </w:t>
      </w:r>
      <w:r>
        <w:rPr>
          <w:rFonts w:hint="eastAsia"/>
          <w:color w:val="000000"/>
          <w:u w:val="single"/>
        </w:rPr>
        <w:t xml:space="preserve">      </w:t>
      </w:r>
      <w:r>
        <w:rPr>
          <w:color w:val="000000"/>
          <w:u w:val="single"/>
        </w:rPr>
        <w:t xml:space="preserve"> </w:t>
      </w:r>
      <w:r>
        <w:rPr>
          <w:color w:val="000000"/>
        </w:rPr>
        <w:t>年</w:t>
      </w:r>
      <w:r>
        <w:rPr>
          <w:color w:val="000000"/>
          <w:u w:val="single"/>
        </w:rPr>
        <w:t xml:space="preserve"> </w:t>
      </w:r>
      <w:r>
        <w:rPr>
          <w:rFonts w:hint="eastAsia"/>
          <w:color w:val="000000"/>
          <w:u w:val="single"/>
        </w:rPr>
        <w:t xml:space="preserve"> </w:t>
      </w:r>
      <w:r>
        <w:rPr>
          <w:color w:val="000000"/>
          <w:u w:val="single"/>
        </w:rPr>
        <w:t xml:space="preserve">   </w:t>
      </w:r>
      <w:r>
        <w:rPr>
          <w:color w:val="000000"/>
        </w:rPr>
        <w:t>月</w:t>
      </w:r>
      <w:r>
        <w:rPr>
          <w:color w:val="000000"/>
          <w:u w:val="single"/>
        </w:rPr>
        <w:t xml:space="preserve">  </w:t>
      </w:r>
      <w:r>
        <w:rPr>
          <w:rFonts w:hint="eastAsia"/>
          <w:color w:val="000000"/>
          <w:u w:val="single"/>
        </w:rPr>
        <w:t xml:space="preserve"> </w:t>
      </w:r>
      <w:r>
        <w:rPr>
          <w:color w:val="000000"/>
          <w:u w:val="single"/>
        </w:rPr>
        <w:t xml:space="preserve">  </w:t>
      </w:r>
      <w:r>
        <w:rPr>
          <w:color w:val="000000"/>
        </w:rPr>
        <w:t>日</w:t>
      </w:r>
    </w:p>
    <w:p>
      <w:pPr>
        <w:pStyle w:val="2"/>
        <w:pageBreakBefore/>
        <w:rPr>
          <w:color w:val="000000"/>
        </w:rPr>
      </w:pPr>
      <w:bookmarkStart w:id="54" w:name="_Toc18672571"/>
      <w:bookmarkStart w:id="55" w:name="_Toc522293519"/>
      <w:r>
        <w:rPr>
          <w:rFonts w:hint="eastAsia"/>
          <w:color w:val="000000"/>
        </w:rPr>
        <w:t xml:space="preserve">第三章 </w:t>
      </w:r>
      <w:r>
        <w:rPr>
          <w:color w:val="000000"/>
        </w:rPr>
        <w:t xml:space="preserve"> </w:t>
      </w:r>
      <w:r>
        <w:rPr>
          <w:rFonts w:hint="eastAsia"/>
          <w:color w:val="000000"/>
        </w:rPr>
        <w:t>评标办法（综合评估法）</w:t>
      </w:r>
      <w:bookmarkEnd w:id="54"/>
      <w:bookmarkEnd w:id="55"/>
    </w:p>
    <w:p>
      <w:pPr>
        <w:pStyle w:val="3"/>
        <w:rPr>
          <w:color w:val="000000"/>
        </w:rPr>
      </w:pPr>
      <w:bookmarkStart w:id="56" w:name="_Toc522293520"/>
      <w:bookmarkStart w:id="57" w:name="_Toc18672572"/>
      <w:r>
        <w:rPr>
          <w:rFonts w:hint="eastAsia"/>
          <w:color w:val="000000"/>
        </w:rPr>
        <w:t>评标办法前附表</w:t>
      </w:r>
      <w:bookmarkEnd w:id="56"/>
      <w:bookmarkEnd w:id="57"/>
    </w:p>
    <w:tbl>
      <w:tblPr>
        <w:tblStyle w:val="13"/>
        <w:tblW w:w="8918" w:type="dxa"/>
        <w:tblInd w:w="-8" w:type="dxa"/>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
      <w:tblGrid>
        <w:gridCol w:w="867"/>
        <w:gridCol w:w="159"/>
        <w:gridCol w:w="510"/>
        <w:gridCol w:w="1606"/>
        <w:gridCol w:w="694"/>
        <w:gridCol w:w="5082"/>
      </w:tblGrid>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1536" w:type="dxa"/>
            <w:gridSpan w:val="3"/>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条款号</w:t>
            </w: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评审因素</w:t>
            </w:r>
          </w:p>
        </w:tc>
        <w:tc>
          <w:tcPr>
            <w:tcW w:w="5082" w:type="dxa"/>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评审标准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867" w:type="dxa"/>
            <w:vMerge w:val="restart"/>
            <w:tcBorders>
              <w:top w:val="outset" w:color="auto" w:sz="6" w:space="0"/>
              <w:left w:val="outset" w:color="auto" w:sz="6" w:space="0"/>
              <w:right w:val="outset" w:color="auto" w:sz="6" w:space="0"/>
            </w:tcBorders>
            <w:vAlign w:val="center"/>
          </w:tcPr>
          <w:p>
            <w:pPr>
              <w:jc w:val="center"/>
              <w:rPr>
                <w:rFonts w:ascii="Calibri" w:hAnsi="Calibri"/>
                <w:color w:val="000000"/>
              </w:rPr>
            </w:pPr>
            <w:r>
              <w:rPr>
                <w:rFonts w:ascii="Calibri" w:hAnsi="Calibri"/>
                <w:color w:val="000000"/>
              </w:rPr>
              <w:t>2.1.1</w:t>
            </w:r>
          </w:p>
        </w:tc>
        <w:tc>
          <w:tcPr>
            <w:tcW w:w="669" w:type="dxa"/>
            <w:gridSpan w:val="2"/>
            <w:vMerge w:val="restart"/>
            <w:tcBorders>
              <w:top w:val="outset" w:color="auto" w:sz="6" w:space="0"/>
              <w:left w:val="outset" w:color="auto" w:sz="6" w:space="0"/>
              <w:right w:val="outset" w:color="auto" w:sz="6" w:space="0"/>
            </w:tcBorders>
            <w:vAlign w:val="center"/>
          </w:tcPr>
          <w:p>
            <w:pPr>
              <w:jc w:val="center"/>
              <w:rPr>
                <w:rFonts w:ascii="Calibri" w:hAnsi="Calibri"/>
                <w:color w:val="000000"/>
              </w:rPr>
            </w:pPr>
            <w:r>
              <w:rPr>
                <w:rFonts w:ascii="Calibri" w:hAnsi="Calibri"/>
                <w:color w:val="000000"/>
              </w:rPr>
              <w:t>形式评审标准</w:t>
            </w: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ascii="Calibri" w:hAnsi="Calibri"/>
                <w:color w:val="000000"/>
              </w:rPr>
              <w:t>投标人名称</w:t>
            </w:r>
          </w:p>
        </w:tc>
        <w:tc>
          <w:tcPr>
            <w:tcW w:w="5082" w:type="dxa"/>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ascii="Calibri" w:hAnsi="Calibri"/>
                <w:color w:val="000000"/>
              </w:rPr>
              <w:t>与营业执照</w:t>
            </w:r>
            <w:r>
              <w:rPr>
                <w:rFonts w:hint="eastAsia" w:ascii="Calibri" w:hAnsi="Calibri"/>
                <w:color w:val="000000"/>
              </w:rPr>
              <w:t>等</w:t>
            </w:r>
            <w:r>
              <w:rPr>
                <w:rFonts w:ascii="Calibri" w:hAnsi="Calibri"/>
                <w:color w:val="000000"/>
              </w:rPr>
              <w:t>一致</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867" w:type="dxa"/>
            <w:vMerge w:val="continue"/>
            <w:tcBorders>
              <w:left w:val="outset" w:color="auto" w:sz="6" w:space="0"/>
              <w:right w:val="outset" w:color="auto" w:sz="6" w:space="0"/>
            </w:tcBorders>
            <w:vAlign w:val="center"/>
          </w:tcPr>
          <w:p>
            <w:pPr>
              <w:jc w:val="left"/>
              <w:rPr>
                <w:rFonts w:ascii="Calibri" w:hAnsi="Calibri"/>
                <w:color w:val="000000"/>
              </w:rPr>
            </w:pPr>
          </w:p>
        </w:tc>
        <w:tc>
          <w:tcPr>
            <w:tcW w:w="669" w:type="dxa"/>
            <w:gridSpan w:val="2"/>
            <w:vMerge w:val="continue"/>
            <w:tcBorders>
              <w:left w:val="outset" w:color="auto" w:sz="6" w:space="0"/>
              <w:right w:val="outset" w:color="auto" w:sz="6" w:space="0"/>
            </w:tcBorders>
            <w:vAlign w:val="center"/>
          </w:tcPr>
          <w:p>
            <w:pPr>
              <w:jc w:val="left"/>
              <w:rPr>
                <w:rFonts w:ascii="Calibri" w:hAnsi="Calibri"/>
                <w:color w:val="000000"/>
              </w:rPr>
            </w:pP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ascii="Calibri" w:hAnsi="Calibri"/>
                <w:color w:val="000000"/>
              </w:rPr>
              <w:t>投标文件的签署</w:t>
            </w:r>
          </w:p>
        </w:tc>
        <w:tc>
          <w:tcPr>
            <w:tcW w:w="5082" w:type="dxa"/>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ascii="Calibri" w:hAnsi="Calibri"/>
                <w:color w:val="000000"/>
              </w:rPr>
              <w:t>符合第二章“投标人须知”第3.7.3（5）目规定</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867" w:type="dxa"/>
            <w:vMerge w:val="continue"/>
            <w:tcBorders>
              <w:left w:val="outset" w:color="auto" w:sz="6" w:space="0"/>
              <w:right w:val="outset" w:color="auto" w:sz="6" w:space="0"/>
            </w:tcBorders>
            <w:vAlign w:val="center"/>
          </w:tcPr>
          <w:p>
            <w:pPr>
              <w:jc w:val="left"/>
              <w:rPr>
                <w:rFonts w:ascii="Calibri" w:hAnsi="Calibri"/>
                <w:color w:val="000000"/>
              </w:rPr>
            </w:pPr>
          </w:p>
        </w:tc>
        <w:tc>
          <w:tcPr>
            <w:tcW w:w="669" w:type="dxa"/>
            <w:gridSpan w:val="2"/>
            <w:vMerge w:val="continue"/>
            <w:tcBorders>
              <w:left w:val="outset" w:color="auto" w:sz="6" w:space="0"/>
              <w:right w:val="outset" w:color="auto" w:sz="6" w:space="0"/>
            </w:tcBorders>
            <w:vAlign w:val="center"/>
          </w:tcPr>
          <w:p>
            <w:pPr>
              <w:jc w:val="left"/>
              <w:rPr>
                <w:rFonts w:ascii="Calibri" w:hAnsi="Calibri"/>
                <w:color w:val="000000"/>
              </w:rPr>
            </w:pP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ascii="Calibri" w:hAnsi="Calibri"/>
                <w:color w:val="000000"/>
              </w:rPr>
              <w:t>投标文件格式</w:t>
            </w:r>
          </w:p>
        </w:tc>
        <w:tc>
          <w:tcPr>
            <w:tcW w:w="5082" w:type="dxa"/>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ascii="Calibri" w:hAnsi="Calibri"/>
                <w:color w:val="000000"/>
              </w:rPr>
              <w:t>符合第八章“投标文件格式”的要求</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867" w:type="dxa"/>
            <w:vMerge w:val="continue"/>
            <w:tcBorders>
              <w:left w:val="outset" w:color="auto" w:sz="6" w:space="0"/>
              <w:right w:val="outset" w:color="auto" w:sz="6" w:space="0"/>
            </w:tcBorders>
            <w:vAlign w:val="center"/>
          </w:tcPr>
          <w:p>
            <w:pPr>
              <w:jc w:val="left"/>
              <w:rPr>
                <w:rFonts w:ascii="Calibri" w:hAnsi="Calibri"/>
                <w:color w:val="000000"/>
              </w:rPr>
            </w:pPr>
          </w:p>
        </w:tc>
        <w:tc>
          <w:tcPr>
            <w:tcW w:w="669" w:type="dxa"/>
            <w:gridSpan w:val="2"/>
            <w:vMerge w:val="continue"/>
            <w:tcBorders>
              <w:left w:val="outset" w:color="auto" w:sz="6" w:space="0"/>
              <w:right w:val="outset" w:color="auto" w:sz="6" w:space="0"/>
            </w:tcBorders>
            <w:vAlign w:val="center"/>
          </w:tcPr>
          <w:p>
            <w:pPr>
              <w:jc w:val="left"/>
              <w:rPr>
                <w:rFonts w:ascii="Calibri" w:hAnsi="Calibri"/>
                <w:color w:val="000000"/>
              </w:rPr>
            </w:pP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ascii="Calibri" w:hAnsi="Calibri"/>
                <w:color w:val="000000"/>
              </w:rPr>
              <w:t>联合体投标人（如有）</w:t>
            </w:r>
          </w:p>
        </w:tc>
        <w:tc>
          <w:tcPr>
            <w:tcW w:w="5082" w:type="dxa"/>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ascii="Calibri" w:hAnsi="Calibri"/>
                <w:color w:val="000000"/>
              </w:rPr>
              <w:t>提交联合体协议书，并明确联合体牵头人</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867" w:type="dxa"/>
            <w:vMerge w:val="continue"/>
            <w:tcBorders>
              <w:left w:val="outset" w:color="auto" w:sz="6" w:space="0"/>
              <w:right w:val="outset" w:color="auto" w:sz="6" w:space="0"/>
            </w:tcBorders>
            <w:vAlign w:val="center"/>
          </w:tcPr>
          <w:p>
            <w:pPr>
              <w:jc w:val="left"/>
              <w:rPr>
                <w:rFonts w:ascii="Calibri" w:hAnsi="Calibri"/>
                <w:color w:val="000000"/>
              </w:rPr>
            </w:pPr>
          </w:p>
        </w:tc>
        <w:tc>
          <w:tcPr>
            <w:tcW w:w="669" w:type="dxa"/>
            <w:gridSpan w:val="2"/>
            <w:vMerge w:val="continue"/>
            <w:tcBorders>
              <w:left w:val="outset" w:color="auto" w:sz="6" w:space="0"/>
              <w:right w:val="outset" w:color="auto" w:sz="6" w:space="0"/>
            </w:tcBorders>
            <w:vAlign w:val="center"/>
          </w:tcPr>
          <w:p>
            <w:pPr>
              <w:jc w:val="left"/>
              <w:rPr>
                <w:rFonts w:ascii="Calibri" w:hAnsi="Calibri"/>
                <w:color w:val="000000"/>
              </w:rPr>
            </w:pP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ascii="Calibri" w:hAnsi="Calibri"/>
                <w:color w:val="000000"/>
              </w:rPr>
              <w:t>报价唯一</w:t>
            </w:r>
          </w:p>
        </w:tc>
        <w:tc>
          <w:tcPr>
            <w:tcW w:w="5082" w:type="dxa"/>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ascii="Calibri" w:hAnsi="Calibri"/>
                <w:color w:val="000000"/>
              </w:rPr>
              <w:t>只能有一个报价（指投标函中的大写报价）</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867" w:type="dxa"/>
            <w:vMerge w:val="continue"/>
            <w:tcBorders>
              <w:left w:val="outset" w:color="auto" w:sz="6" w:space="0"/>
              <w:bottom w:val="outset" w:color="auto" w:sz="6" w:space="0"/>
              <w:right w:val="outset" w:color="auto" w:sz="6" w:space="0"/>
            </w:tcBorders>
            <w:vAlign w:val="center"/>
          </w:tcPr>
          <w:p>
            <w:pPr>
              <w:jc w:val="left"/>
              <w:rPr>
                <w:rFonts w:ascii="Calibri" w:hAnsi="Calibri"/>
                <w:color w:val="000000"/>
              </w:rPr>
            </w:pPr>
          </w:p>
        </w:tc>
        <w:tc>
          <w:tcPr>
            <w:tcW w:w="669" w:type="dxa"/>
            <w:gridSpan w:val="2"/>
            <w:vMerge w:val="continue"/>
            <w:tcBorders>
              <w:left w:val="outset" w:color="auto" w:sz="6" w:space="0"/>
              <w:bottom w:val="outset" w:color="auto" w:sz="6" w:space="0"/>
              <w:right w:val="outset" w:color="auto" w:sz="6" w:space="0"/>
            </w:tcBorders>
            <w:vAlign w:val="center"/>
          </w:tcPr>
          <w:p>
            <w:pPr>
              <w:jc w:val="left"/>
              <w:rPr>
                <w:rFonts w:ascii="Calibri" w:hAnsi="Calibri"/>
                <w:color w:val="000000"/>
              </w:rPr>
            </w:pP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ascii="Calibri" w:hAnsi="Calibri"/>
                <w:color w:val="000000"/>
              </w:rPr>
              <w:t>参加开标会</w:t>
            </w:r>
          </w:p>
        </w:tc>
        <w:tc>
          <w:tcPr>
            <w:tcW w:w="5082" w:type="dxa"/>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ascii="Calibri" w:hAnsi="Calibri"/>
                <w:color w:val="000000"/>
              </w:rPr>
              <w:t>符合第二章“投标人须知”第5.1.1项</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rPr>
          <w:trHeight w:val="1300" w:hRule="atLeast"/>
        </w:trPr>
        <w:tc>
          <w:tcPr>
            <w:tcW w:w="867" w:type="dxa"/>
            <w:tcBorders>
              <w:left w:val="outset" w:color="auto" w:sz="6" w:space="0"/>
              <w:right w:val="outset" w:color="auto" w:sz="6" w:space="0"/>
            </w:tcBorders>
            <w:vAlign w:val="center"/>
          </w:tcPr>
          <w:p>
            <w:pPr>
              <w:jc w:val="center"/>
              <w:rPr>
                <w:rFonts w:ascii="Calibri" w:hAnsi="Calibri"/>
                <w:color w:val="000000"/>
              </w:rPr>
            </w:pPr>
          </w:p>
        </w:tc>
        <w:tc>
          <w:tcPr>
            <w:tcW w:w="669" w:type="dxa"/>
            <w:gridSpan w:val="2"/>
            <w:tcBorders>
              <w:left w:val="outset" w:color="auto" w:sz="6" w:space="0"/>
              <w:right w:val="outset" w:color="auto" w:sz="6" w:space="0"/>
            </w:tcBorders>
            <w:vAlign w:val="center"/>
          </w:tcPr>
          <w:p>
            <w:pPr>
              <w:jc w:val="center"/>
              <w:rPr>
                <w:rFonts w:ascii="Calibri" w:hAnsi="Calibri"/>
                <w:color w:val="000000"/>
              </w:rPr>
            </w:pPr>
          </w:p>
        </w:tc>
        <w:tc>
          <w:tcPr>
            <w:tcW w:w="2300" w:type="dxa"/>
            <w:gridSpan w:val="2"/>
            <w:tcBorders>
              <w:top w:val="outset" w:color="auto" w:sz="6" w:space="0"/>
              <w:left w:val="outset" w:color="auto" w:sz="6" w:space="0"/>
              <w:right w:val="outset" w:color="auto" w:sz="6" w:space="0"/>
            </w:tcBorders>
            <w:vAlign w:val="center"/>
          </w:tcPr>
          <w:p>
            <w:pPr>
              <w:jc w:val="left"/>
              <w:rPr>
                <w:rFonts w:ascii="Calibri" w:hAnsi="Calibri"/>
                <w:color w:val="000000"/>
              </w:rPr>
            </w:pPr>
            <w:r>
              <w:rPr>
                <w:rFonts w:hint="eastAsia" w:ascii="宋体" w:hAnsi="宋体"/>
              </w:rPr>
              <w:t>营业执照</w:t>
            </w:r>
          </w:p>
        </w:tc>
        <w:tc>
          <w:tcPr>
            <w:tcW w:w="5082" w:type="dxa"/>
            <w:tcBorders>
              <w:top w:val="outset" w:color="auto" w:sz="6" w:space="0"/>
              <w:left w:val="outset" w:color="auto" w:sz="6" w:space="0"/>
              <w:right w:val="outset" w:color="auto" w:sz="6" w:space="0"/>
            </w:tcBorders>
            <w:vAlign w:val="center"/>
          </w:tcPr>
          <w:p>
            <w:pPr>
              <w:jc w:val="left"/>
              <w:rPr>
                <w:rFonts w:ascii="Calibri" w:hAnsi="Calibri"/>
                <w:color w:val="000000"/>
              </w:rPr>
            </w:pPr>
            <w:r>
              <w:rPr>
                <w:rFonts w:hint="eastAsia" w:ascii="宋体" w:hAnsi="宋体"/>
              </w:rPr>
              <w:t>必须是中华人民共和国境内注册的独立法人机构，投标人须具有工商行政主管部门核发的有效法人营业执照，投标人不得以分公司名义进行投标，投标文件的单位盖章必须使用其法人公章，分公司盖章无效。 （提供营业执照复印件加盖投标人公章）</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rPr>
          <w:trHeight w:val="1300" w:hRule="atLeast"/>
        </w:trPr>
        <w:tc>
          <w:tcPr>
            <w:tcW w:w="867" w:type="dxa"/>
            <w:tcBorders>
              <w:left w:val="outset" w:color="auto" w:sz="6" w:space="0"/>
              <w:right w:val="outset" w:color="auto" w:sz="6" w:space="0"/>
            </w:tcBorders>
            <w:vAlign w:val="center"/>
          </w:tcPr>
          <w:p>
            <w:pPr>
              <w:jc w:val="center"/>
              <w:rPr>
                <w:rFonts w:ascii="Calibri" w:hAnsi="Calibri"/>
                <w:color w:val="000000"/>
              </w:rPr>
            </w:pPr>
          </w:p>
        </w:tc>
        <w:tc>
          <w:tcPr>
            <w:tcW w:w="669" w:type="dxa"/>
            <w:gridSpan w:val="2"/>
            <w:tcBorders>
              <w:left w:val="outset" w:color="auto" w:sz="6" w:space="0"/>
              <w:right w:val="outset" w:color="auto" w:sz="6" w:space="0"/>
            </w:tcBorders>
            <w:vAlign w:val="center"/>
          </w:tcPr>
          <w:p>
            <w:pPr>
              <w:jc w:val="center"/>
              <w:rPr>
                <w:rFonts w:ascii="Calibri" w:hAnsi="Calibri"/>
                <w:color w:val="000000"/>
              </w:rPr>
            </w:pPr>
          </w:p>
        </w:tc>
        <w:tc>
          <w:tcPr>
            <w:tcW w:w="2300" w:type="dxa"/>
            <w:gridSpan w:val="2"/>
            <w:tcBorders>
              <w:top w:val="outset" w:color="auto" w:sz="6" w:space="0"/>
              <w:left w:val="outset" w:color="auto" w:sz="6" w:space="0"/>
              <w:right w:val="outset" w:color="auto" w:sz="6" w:space="0"/>
            </w:tcBorders>
            <w:vAlign w:val="center"/>
          </w:tcPr>
          <w:p>
            <w:pPr>
              <w:jc w:val="left"/>
              <w:rPr>
                <w:rFonts w:ascii="宋体" w:hAnsi="宋体"/>
              </w:rPr>
            </w:pPr>
            <w:r>
              <w:rPr>
                <w:rFonts w:hint="eastAsia" w:ascii="宋体" w:hAnsi="宋体"/>
              </w:rPr>
              <w:t>信用要求</w:t>
            </w:r>
          </w:p>
        </w:tc>
        <w:tc>
          <w:tcPr>
            <w:tcW w:w="5082" w:type="dxa"/>
            <w:tcBorders>
              <w:top w:val="outset" w:color="auto" w:sz="6" w:space="0"/>
              <w:left w:val="outset" w:color="auto" w:sz="6" w:space="0"/>
              <w:right w:val="outset" w:color="auto" w:sz="6" w:space="0"/>
            </w:tcBorders>
            <w:vAlign w:val="center"/>
          </w:tcPr>
          <w:p>
            <w:pPr>
              <w:jc w:val="left"/>
              <w:rPr>
                <w:rFonts w:ascii="宋体" w:hAnsi="宋体"/>
              </w:rPr>
            </w:pPr>
            <w:r>
              <w:rPr>
                <w:rFonts w:hint="eastAsia" w:ascii="宋体" w:hAnsi="宋体"/>
              </w:rPr>
              <w:t>投标人在“信用中国”网站，未被列入失信被执行人；在“国家企业信用信息公示系统”未被列入严重违法失信企业名单；在“湖北省公共资源招标投标信用信息平台”未被列入信用黑名单的投标人。（开标结束后由招标人或其委托的招标代理机构按照招标文件要求对所有投标人的信用信息进行查询，做好记录，由评标委员会按招标文件的规定进行评审）</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rPr>
          <w:trHeight w:val="488" w:hRule="atLeast"/>
        </w:trPr>
        <w:tc>
          <w:tcPr>
            <w:tcW w:w="867" w:type="dxa"/>
            <w:tcBorders>
              <w:left w:val="outset" w:color="auto" w:sz="6" w:space="0"/>
              <w:right w:val="outset" w:color="auto" w:sz="6" w:space="0"/>
            </w:tcBorders>
            <w:vAlign w:val="center"/>
          </w:tcPr>
          <w:p>
            <w:pPr>
              <w:jc w:val="center"/>
              <w:rPr>
                <w:rFonts w:ascii="Calibri" w:hAnsi="Calibri"/>
                <w:color w:val="000000"/>
              </w:rPr>
            </w:pPr>
            <w:r>
              <w:rPr>
                <w:rFonts w:hint="eastAsia" w:ascii="Calibri" w:hAnsi="Calibri"/>
                <w:color w:val="000000"/>
              </w:rPr>
              <w:t>2.1.2</w:t>
            </w:r>
          </w:p>
        </w:tc>
        <w:tc>
          <w:tcPr>
            <w:tcW w:w="669" w:type="dxa"/>
            <w:gridSpan w:val="2"/>
            <w:tcBorders>
              <w:left w:val="outset" w:color="auto" w:sz="6" w:space="0"/>
              <w:right w:val="outset" w:color="auto" w:sz="6" w:space="0"/>
            </w:tcBorders>
            <w:vAlign w:val="center"/>
          </w:tcPr>
          <w:p>
            <w:pPr>
              <w:jc w:val="center"/>
              <w:rPr>
                <w:rFonts w:ascii="Calibri" w:hAnsi="Calibri"/>
                <w:color w:val="000000"/>
              </w:rPr>
            </w:pPr>
            <w:r>
              <w:rPr>
                <w:rFonts w:ascii="Calibri" w:hAnsi="Calibri"/>
                <w:color w:val="000000"/>
              </w:rPr>
              <w:t>资格评审标准</w:t>
            </w:r>
          </w:p>
        </w:tc>
        <w:tc>
          <w:tcPr>
            <w:tcW w:w="2300" w:type="dxa"/>
            <w:gridSpan w:val="2"/>
            <w:tcBorders>
              <w:top w:val="outset" w:color="auto" w:sz="6" w:space="0"/>
              <w:left w:val="outset" w:color="auto" w:sz="6" w:space="0"/>
              <w:right w:val="outset" w:color="auto" w:sz="6" w:space="0"/>
            </w:tcBorders>
            <w:vAlign w:val="center"/>
          </w:tcPr>
          <w:p>
            <w:pPr>
              <w:spacing w:line="360" w:lineRule="exact"/>
              <w:jc w:val="left"/>
              <w:rPr>
                <w:rFonts w:ascii="宋体" w:hAnsi="宋体"/>
              </w:rPr>
            </w:pPr>
            <w:r>
              <w:rPr>
                <w:rFonts w:hint="eastAsia" w:ascii="宋体" w:hAnsi="宋体"/>
              </w:rPr>
              <w:t>业绩要求</w:t>
            </w:r>
          </w:p>
        </w:tc>
        <w:tc>
          <w:tcPr>
            <w:tcW w:w="5082" w:type="dxa"/>
            <w:tcBorders>
              <w:top w:val="outset" w:color="auto" w:sz="6" w:space="0"/>
              <w:left w:val="outset" w:color="auto" w:sz="6" w:space="0"/>
              <w:right w:val="outset" w:color="auto" w:sz="6" w:space="0"/>
            </w:tcBorders>
            <w:vAlign w:val="center"/>
          </w:tcPr>
          <w:p>
            <w:pPr>
              <w:widowControl/>
              <w:spacing w:line="360" w:lineRule="exact"/>
              <w:jc w:val="left"/>
              <w:rPr>
                <w:rFonts w:ascii="宋体" w:hAnsi="宋体"/>
              </w:rPr>
            </w:pPr>
            <w:r>
              <w:rPr>
                <w:rFonts w:hint="eastAsia" w:ascii="宋体" w:hAnsi="宋体"/>
              </w:rPr>
              <w:t>投标人自2015年1月1日以来（以合同签订时间为准）至少承接过一项集装箱智能闸口项目。（投标文件中提供合同原件复印件及其他证明材料复印件并能充分反映上述内容）</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867" w:type="dxa"/>
            <w:tcBorders>
              <w:left w:val="outset" w:color="auto" w:sz="6" w:space="0"/>
              <w:right w:val="outset" w:color="auto" w:sz="6" w:space="0"/>
            </w:tcBorders>
            <w:vAlign w:val="center"/>
          </w:tcPr>
          <w:p>
            <w:pPr>
              <w:jc w:val="left"/>
              <w:rPr>
                <w:rFonts w:ascii="Calibri" w:hAnsi="Calibri"/>
                <w:color w:val="000000"/>
              </w:rPr>
            </w:pPr>
          </w:p>
        </w:tc>
        <w:tc>
          <w:tcPr>
            <w:tcW w:w="669" w:type="dxa"/>
            <w:gridSpan w:val="2"/>
            <w:tcBorders>
              <w:left w:val="outset" w:color="auto" w:sz="6" w:space="0"/>
              <w:right w:val="outset" w:color="auto" w:sz="6" w:space="0"/>
            </w:tcBorders>
            <w:vAlign w:val="center"/>
          </w:tcPr>
          <w:p>
            <w:pPr>
              <w:jc w:val="left"/>
              <w:rPr>
                <w:rFonts w:ascii="Calibri" w:hAnsi="Calibri"/>
                <w:color w:val="000000"/>
              </w:rPr>
            </w:pP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联合体投标</w:t>
            </w:r>
          </w:p>
        </w:tc>
        <w:tc>
          <w:tcPr>
            <w:tcW w:w="5082" w:type="dxa"/>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本次招标不接受联合体投标，投标人须以独立法人身份参与投标。</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867" w:type="dxa"/>
            <w:tcBorders>
              <w:left w:val="outset" w:color="auto" w:sz="6" w:space="0"/>
              <w:bottom w:val="outset" w:color="auto" w:sz="6" w:space="0"/>
              <w:right w:val="outset" w:color="auto" w:sz="6" w:space="0"/>
            </w:tcBorders>
            <w:vAlign w:val="center"/>
          </w:tcPr>
          <w:p>
            <w:pPr>
              <w:jc w:val="left"/>
              <w:rPr>
                <w:rFonts w:ascii="Calibri" w:hAnsi="Calibri"/>
                <w:color w:val="000000"/>
              </w:rPr>
            </w:pPr>
          </w:p>
        </w:tc>
        <w:tc>
          <w:tcPr>
            <w:tcW w:w="669" w:type="dxa"/>
            <w:gridSpan w:val="2"/>
            <w:tcBorders>
              <w:left w:val="outset" w:color="auto" w:sz="6" w:space="0"/>
              <w:bottom w:val="outset" w:color="auto" w:sz="6" w:space="0"/>
              <w:right w:val="outset" w:color="auto" w:sz="6" w:space="0"/>
            </w:tcBorders>
            <w:vAlign w:val="center"/>
          </w:tcPr>
          <w:p>
            <w:pPr>
              <w:jc w:val="left"/>
              <w:rPr>
                <w:rFonts w:ascii="Calibri" w:hAnsi="Calibri"/>
                <w:color w:val="000000"/>
              </w:rPr>
            </w:pP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left"/>
              <w:rPr>
                <w:rFonts w:ascii="宋体" w:hAnsi="宋体"/>
              </w:rPr>
            </w:pPr>
            <w:r>
              <w:rPr>
                <w:rFonts w:hint="eastAsia" w:ascii="宋体" w:hAnsi="宋体"/>
              </w:rPr>
              <w:t>其他</w:t>
            </w:r>
          </w:p>
        </w:tc>
        <w:tc>
          <w:tcPr>
            <w:tcW w:w="5082" w:type="dxa"/>
            <w:tcBorders>
              <w:top w:val="outset" w:color="auto" w:sz="6" w:space="0"/>
              <w:left w:val="outset" w:color="auto" w:sz="6" w:space="0"/>
              <w:bottom w:val="outset" w:color="auto" w:sz="6" w:space="0"/>
              <w:right w:val="outset" w:color="auto" w:sz="6" w:space="0"/>
            </w:tcBorders>
            <w:vAlign w:val="center"/>
          </w:tcPr>
          <w:p>
            <w:pPr>
              <w:jc w:val="left"/>
              <w:rPr>
                <w:rFonts w:ascii="宋体" w:hAnsi="宋体"/>
              </w:rPr>
            </w:pPr>
            <w:r>
              <w:rPr>
                <w:rFonts w:hint="eastAsia" w:ascii="宋体" w:hAnsi="宋体"/>
              </w:rPr>
              <w:t>投标人在制作投标文件时，应对照上述资格审查要求，提供证明材料原件扫描件并加盖投标人公章，否则评委将不予采信。</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867" w:type="dxa"/>
            <w:vMerge w:val="restart"/>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2.1.3</w:t>
            </w:r>
          </w:p>
        </w:tc>
        <w:tc>
          <w:tcPr>
            <w:tcW w:w="669" w:type="dxa"/>
            <w:gridSpan w:val="2"/>
            <w:vMerge w:val="restart"/>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响应性评审标准</w:t>
            </w: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投标人名称</w:t>
            </w:r>
          </w:p>
        </w:tc>
        <w:tc>
          <w:tcPr>
            <w:tcW w:w="5082" w:type="dxa"/>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与营业执照等其他证件一致</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867"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p>
        </w:tc>
        <w:tc>
          <w:tcPr>
            <w:tcW w:w="669" w:type="dxa"/>
            <w:gridSpan w:val="2"/>
            <w:vMerge w:val="continue"/>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投标文件签署</w:t>
            </w:r>
          </w:p>
        </w:tc>
        <w:tc>
          <w:tcPr>
            <w:tcW w:w="5082" w:type="dxa"/>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符合招标文件要求在规定区域加盖单位公章和法定代表人印章</w:t>
            </w:r>
            <w:r>
              <w:rPr>
                <w:rFonts w:ascii="宋体" w:hAnsi="宋体"/>
              </w:rPr>
              <w:t xml:space="preserve"> </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867"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p>
        </w:tc>
        <w:tc>
          <w:tcPr>
            <w:tcW w:w="669" w:type="dxa"/>
            <w:gridSpan w:val="2"/>
            <w:vMerge w:val="continue"/>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法人和授权代表资格</w:t>
            </w:r>
          </w:p>
        </w:tc>
        <w:tc>
          <w:tcPr>
            <w:tcW w:w="5082" w:type="dxa"/>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具有法定代表人资格证明和法定代表人授权委托书</w:t>
            </w:r>
            <w:r>
              <w:rPr>
                <w:rFonts w:ascii="宋体" w:hAnsi="宋体"/>
              </w:rPr>
              <w:t xml:space="preserve"> </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867"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p>
        </w:tc>
        <w:tc>
          <w:tcPr>
            <w:tcW w:w="669" w:type="dxa"/>
            <w:gridSpan w:val="2"/>
            <w:vMerge w:val="continue"/>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投标有效期</w:t>
            </w:r>
          </w:p>
        </w:tc>
        <w:tc>
          <w:tcPr>
            <w:tcW w:w="5082" w:type="dxa"/>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符合投标人须知前附表的规定</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867"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p>
        </w:tc>
        <w:tc>
          <w:tcPr>
            <w:tcW w:w="669" w:type="dxa"/>
            <w:gridSpan w:val="2"/>
            <w:vMerge w:val="continue"/>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投标报价</w:t>
            </w:r>
          </w:p>
        </w:tc>
        <w:tc>
          <w:tcPr>
            <w:tcW w:w="5082" w:type="dxa"/>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投标报价唯一；投标报价未超过预算金额或者最高限价；投标报价合理</w:t>
            </w:r>
            <w:r>
              <w:rPr>
                <w:rFonts w:ascii="宋体" w:hAnsi="宋体"/>
              </w:rPr>
              <w:t xml:space="preserve"> </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867"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p>
        </w:tc>
        <w:tc>
          <w:tcPr>
            <w:tcW w:w="669" w:type="dxa"/>
            <w:gridSpan w:val="2"/>
            <w:vMerge w:val="continue"/>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投标货物及服务</w:t>
            </w:r>
          </w:p>
        </w:tc>
        <w:tc>
          <w:tcPr>
            <w:tcW w:w="5082" w:type="dxa"/>
            <w:tcBorders>
              <w:top w:val="outset" w:color="auto" w:sz="6" w:space="0"/>
              <w:left w:val="outset" w:color="auto" w:sz="6" w:space="0"/>
              <w:bottom w:val="outset" w:color="auto" w:sz="6" w:space="0"/>
              <w:right w:val="outset" w:color="auto" w:sz="6" w:space="0"/>
            </w:tcBorders>
            <w:vAlign w:val="center"/>
          </w:tcPr>
          <w:p>
            <w:pPr>
              <w:jc w:val="left"/>
              <w:rPr>
                <w:rFonts w:ascii="宋体" w:hAnsi="宋体"/>
              </w:rPr>
            </w:pPr>
            <w:r>
              <w:rPr>
                <w:rFonts w:hint="eastAsia" w:ascii="宋体" w:hAnsi="宋体"/>
              </w:rPr>
              <w:t>（</w:t>
            </w:r>
            <w:r>
              <w:rPr>
                <w:rFonts w:ascii="宋体" w:hAnsi="宋体"/>
              </w:rPr>
              <w:t>1）未对招标人提供的</w:t>
            </w:r>
            <w:r>
              <w:rPr>
                <w:rFonts w:hint="eastAsia" w:ascii="宋体" w:hAnsi="宋体"/>
              </w:rPr>
              <w:t>设备名称</w:t>
            </w:r>
            <w:r>
              <w:rPr>
                <w:rFonts w:ascii="宋体" w:hAnsi="宋体"/>
              </w:rPr>
              <w:t>、工程数量和计量单位进行改动且对计价产生影响的；</w:t>
            </w:r>
          </w:p>
          <w:p>
            <w:pPr>
              <w:jc w:val="left"/>
              <w:rPr>
                <w:rFonts w:ascii="宋体" w:hAnsi="宋体"/>
              </w:rPr>
            </w:pPr>
            <w:r>
              <w:rPr>
                <w:rFonts w:ascii="宋体" w:hAnsi="宋体"/>
              </w:rPr>
              <w:t>（2）投标报价中未出现负报价的；</w:t>
            </w:r>
          </w:p>
          <w:p>
            <w:pPr>
              <w:jc w:val="left"/>
              <w:rPr>
                <w:rFonts w:ascii="宋体" w:hAnsi="宋体"/>
              </w:rPr>
            </w:pPr>
            <w:r>
              <w:rPr>
                <w:rFonts w:ascii="宋体" w:hAnsi="宋体"/>
              </w:rPr>
              <w:t>（3）</w:t>
            </w:r>
            <w:r>
              <w:rPr>
                <w:rFonts w:hint="eastAsia" w:ascii="宋体" w:hAnsi="宋体"/>
              </w:rPr>
              <w:t>投标产品的参数无负偏离的</w:t>
            </w:r>
            <w:r>
              <w:rPr>
                <w:rFonts w:ascii="宋体" w:hAnsi="宋体"/>
              </w:rPr>
              <w:t>；</w:t>
            </w:r>
          </w:p>
          <w:p>
            <w:pPr>
              <w:jc w:val="left"/>
              <w:rPr>
                <w:rFonts w:ascii="Calibri" w:hAnsi="Calibri"/>
                <w:color w:val="000000"/>
              </w:rPr>
            </w:pPr>
            <w:r>
              <w:rPr>
                <w:rFonts w:ascii="宋体" w:hAnsi="宋体"/>
              </w:rPr>
              <w:t>（4）计税方法、计价模式符合招标文件要求。</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867"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p>
        </w:tc>
        <w:tc>
          <w:tcPr>
            <w:tcW w:w="669" w:type="dxa"/>
            <w:gridSpan w:val="2"/>
            <w:vMerge w:val="continue"/>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工期、施工地点等</w:t>
            </w:r>
          </w:p>
        </w:tc>
        <w:tc>
          <w:tcPr>
            <w:tcW w:w="5082" w:type="dxa"/>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符合招标文件第五章“四、商务要求”的要求</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867"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p>
        </w:tc>
        <w:tc>
          <w:tcPr>
            <w:tcW w:w="669" w:type="dxa"/>
            <w:gridSpan w:val="2"/>
            <w:vMerge w:val="continue"/>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违法投标行为</w:t>
            </w:r>
          </w:p>
        </w:tc>
        <w:tc>
          <w:tcPr>
            <w:tcW w:w="5082" w:type="dxa"/>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无招标文件</w:t>
            </w:r>
            <w:r>
              <w:rPr>
                <w:rFonts w:ascii="宋体" w:hAnsi="宋体"/>
              </w:rPr>
              <w:t>25.2</w:t>
            </w:r>
            <w:r>
              <w:rPr>
                <w:rFonts w:hint="eastAsia" w:ascii="宋体" w:hAnsi="宋体"/>
              </w:rPr>
              <w:t>中的任一情形</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867"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p>
        </w:tc>
        <w:tc>
          <w:tcPr>
            <w:tcW w:w="669" w:type="dxa"/>
            <w:gridSpan w:val="2"/>
            <w:vMerge w:val="continue"/>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其它要求</w:t>
            </w:r>
          </w:p>
        </w:tc>
        <w:tc>
          <w:tcPr>
            <w:tcW w:w="5082" w:type="dxa"/>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符合法律法规和招标文件规定的其它实质性条款</w:t>
            </w:r>
            <w:r>
              <w:rPr>
                <w:rFonts w:ascii="宋体" w:hAnsi="宋体"/>
              </w:rPr>
              <w:t xml:space="preserve"> </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867" w:type="dxa"/>
            <w:vMerge w:val="continue"/>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p>
        </w:tc>
        <w:tc>
          <w:tcPr>
            <w:tcW w:w="669" w:type="dxa"/>
            <w:gridSpan w:val="2"/>
            <w:vMerge w:val="continue"/>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投标人名称</w:t>
            </w:r>
          </w:p>
        </w:tc>
        <w:tc>
          <w:tcPr>
            <w:tcW w:w="5082" w:type="dxa"/>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宋体" w:hAnsi="宋体"/>
              </w:rPr>
              <w:t>与营业执照等其他证件一致</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1536" w:type="dxa"/>
            <w:gridSpan w:val="3"/>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2.2.1</w:t>
            </w:r>
          </w:p>
        </w:tc>
        <w:tc>
          <w:tcPr>
            <w:tcW w:w="2300" w:type="dxa"/>
            <w:gridSpan w:val="2"/>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分值构成（总分</w:t>
            </w:r>
            <w:r>
              <w:rPr>
                <w:rFonts w:hint="eastAsia" w:ascii="Calibri" w:hAnsi="Calibri"/>
                <w:color w:val="000000"/>
              </w:rPr>
              <w:t>100</w:t>
            </w:r>
            <w:r>
              <w:rPr>
                <w:rFonts w:ascii="Calibri" w:hAnsi="Calibri"/>
                <w:color w:val="000000"/>
              </w:rPr>
              <w:t>分）</w:t>
            </w:r>
          </w:p>
        </w:tc>
        <w:tc>
          <w:tcPr>
            <w:tcW w:w="5082" w:type="dxa"/>
            <w:tcBorders>
              <w:top w:val="outset" w:color="auto" w:sz="6" w:space="0"/>
              <w:left w:val="outset" w:color="auto" w:sz="6" w:space="0"/>
              <w:bottom w:val="outset" w:color="auto" w:sz="6" w:space="0"/>
              <w:right w:val="outset" w:color="auto" w:sz="6" w:space="0"/>
            </w:tcBorders>
            <w:vAlign w:val="center"/>
          </w:tcPr>
          <w:p>
            <w:pPr>
              <w:jc w:val="left"/>
              <w:rPr>
                <w:rFonts w:ascii="Calibri" w:hAnsi="Calibri"/>
                <w:color w:val="000000"/>
              </w:rPr>
            </w:pPr>
            <w:r>
              <w:rPr>
                <w:rFonts w:hint="eastAsia" w:ascii="Calibri" w:hAnsi="Calibri"/>
                <w:color w:val="000000"/>
              </w:rPr>
              <w:t>商务评议</w:t>
            </w:r>
            <w:r>
              <w:rPr>
                <w:rFonts w:ascii="Calibri" w:hAnsi="Calibri"/>
                <w:color w:val="000000"/>
              </w:rPr>
              <w:t>：</w:t>
            </w:r>
            <w:r>
              <w:rPr>
                <w:rFonts w:hint="eastAsia" w:ascii="Calibri" w:hAnsi="Calibri"/>
                <w:color w:val="000000"/>
              </w:rPr>
              <w:t>30</w:t>
            </w:r>
            <w:r>
              <w:rPr>
                <w:rFonts w:ascii="Calibri" w:hAnsi="Calibri"/>
                <w:color w:val="000000"/>
              </w:rPr>
              <w:t>分</w:t>
            </w:r>
            <w:r>
              <w:rPr>
                <w:rFonts w:ascii="Calibri" w:hAnsi="Calibri"/>
                <w:color w:val="000000"/>
              </w:rPr>
              <w:br w:type="textWrapping"/>
            </w:r>
            <w:r>
              <w:rPr>
                <w:rFonts w:hint="eastAsia" w:ascii="Calibri" w:hAnsi="Calibri"/>
                <w:color w:val="000000"/>
              </w:rPr>
              <w:t>技术评议</w:t>
            </w:r>
            <w:r>
              <w:rPr>
                <w:rFonts w:ascii="Calibri" w:hAnsi="Calibri"/>
                <w:color w:val="000000"/>
              </w:rPr>
              <w:t>：</w:t>
            </w:r>
            <w:r>
              <w:rPr>
                <w:rFonts w:hint="eastAsia" w:ascii="Calibri" w:hAnsi="Calibri"/>
                <w:color w:val="000000"/>
              </w:rPr>
              <w:t>35分</w:t>
            </w:r>
            <w:r>
              <w:rPr>
                <w:rFonts w:ascii="Calibri" w:hAnsi="Calibri"/>
                <w:color w:val="000000"/>
              </w:rPr>
              <w:br w:type="textWrapping"/>
            </w:r>
            <w:r>
              <w:rPr>
                <w:rFonts w:hint="eastAsia" w:ascii="Calibri" w:hAnsi="Calibri"/>
                <w:color w:val="000000"/>
              </w:rPr>
              <w:t>投标报价</w:t>
            </w:r>
            <w:r>
              <w:rPr>
                <w:rFonts w:ascii="Calibri" w:hAnsi="Calibri"/>
                <w:color w:val="000000"/>
              </w:rPr>
              <w:t>：</w:t>
            </w:r>
            <w:r>
              <w:rPr>
                <w:rFonts w:hint="eastAsia" w:ascii="Calibri" w:hAnsi="Calibri"/>
                <w:color w:val="000000"/>
              </w:rPr>
              <w:t>35</w:t>
            </w:r>
            <w:r>
              <w:rPr>
                <w:rFonts w:ascii="Calibri" w:hAnsi="Calibri"/>
                <w:color w:val="000000"/>
              </w:rPr>
              <w:t>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1026" w:type="dxa"/>
            <w:gridSpan w:val="2"/>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条款号</w:t>
            </w:r>
          </w:p>
        </w:tc>
        <w:tc>
          <w:tcPr>
            <w:tcW w:w="510" w:type="dxa"/>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评分因素</w:t>
            </w:r>
          </w:p>
        </w:tc>
        <w:tc>
          <w:tcPr>
            <w:tcW w:w="1606" w:type="dxa"/>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各评分因素细分项</w:t>
            </w:r>
          </w:p>
        </w:tc>
        <w:tc>
          <w:tcPr>
            <w:tcW w:w="694" w:type="dxa"/>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分值</w:t>
            </w:r>
          </w:p>
        </w:tc>
        <w:tc>
          <w:tcPr>
            <w:tcW w:w="5082" w:type="dxa"/>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评分标准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rPr>
          <w:trHeight w:val="1794" w:hRule="atLeast"/>
        </w:trPr>
        <w:tc>
          <w:tcPr>
            <w:tcW w:w="1026" w:type="dxa"/>
            <w:gridSpan w:val="2"/>
            <w:tcBorders>
              <w:top w:val="outset" w:color="auto" w:sz="6" w:space="0"/>
              <w:left w:val="outset" w:color="auto" w:sz="6" w:space="0"/>
              <w:right w:val="outset" w:color="auto" w:sz="6" w:space="0"/>
            </w:tcBorders>
            <w:vAlign w:val="center"/>
          </w:tcPr>
          <w:p>
            <w:pPr>
              <w:jc w:val="center"/>
              <w:rPr>
                <w:rFonts w:ascii="Calibri" w:hAnsi="Calibri"/>
                <w:color w:val="000000"/>
              </w:rPr>
            </w:pPr>
            <w:r>
              <w:rPr>
                <w:rFonts w:ascii="Calibri" w:hAnsi="Calibri"/>
                <w:color w:val="000000"/>
              </w:rPr>
              <w:t>2.2.2（1）</w:t>
            </w:r>
          </w:p>
        </w:tc>
        <w:tc>
          <w:tcPr>
            <w:tcW w:w="510" w:type="dxa"/>
            <w:vMerge w:val="restart"/>
            <w:tcBorders>
              <w:top w:val="outset" w:color="auto" w:sz="6" w:space="0"/>
              <w:left w:val="outset" w:color="auto" w:sz="6" w:space="0"/>
              <w:right w:val="outset" w:color="auto" w:sz="6" w:space="0"/>
            </w:tcBorders>
            <w:vAlign w:val="center"/>
          </w:tcPr>
          <w:p>
            <w:pPr>
              <w:spacing w:line="276" w:lineRule="auto"/>
              <w:ind w:right="-107" w:rightChars="-51"/>
              <w:jc w:val="center"/>
              <w:rPr>
                <w:rFonts w:ascii="宋体" w:hAnsi="宋体"/>
                <w:szCs w:val="21"/>
              </w:rPr>
            </w:pPr>
            <w:r>
              <w:rPr>
                <w:rFonts w:ascii="宋体" w:hAnsi="宋体"/>
                <w:szCs w:val="21"/>
              </w:rPr>
              <w:t>商</w:t>
            </w:r>
          </w:p>
          <w:p>
            <w:pPr>
              <w:spacing w:line="276" w:lineRule="auto"/>
              <w:ind w:right="-107" w:rightChars="-51"/>
              <w:jc w:val="center"/>
              <w:rPr>
                <w:rFonts w:ascii="宋体" w:hAnsi="宋体"/>
                <w:szCs w:val="21"/>
              </w:rPr>
            </w:pPr>
            <w:r>
              <w:rPr>
                <w:rFonts w:ascii="宋体" w:hAnsi="宋体"/>
                <w:szCs w:val="21"/>
              </w:rPr>
              <w:t>务</w:t>
            </w:r>
          </w:p>
          <w:p>
            <w:pPr>
              <w:spacing w:line="276" w:lineRule="auto"/>
              <w:ind w:right="-107" w:rightChars="-51"/>
              <w:jc w:val="center"/>
              <w:rPr>
                <w:rFonts w:ascii="宋体" w:hAnsi="宋体"/>
                <w:szCs w:val="21"/>
              </w:rPr>
            </w:pPr>
            <w:r>
              <w:rPr>
                <w:rFonts w:ascii="宋体" w:hAnsi="宋体"/>
                <w:szCs w:val="21"/>
              </w:rPr>
              <w:t>评</w:t>
            </w:r>
          </w:p>
          <w:p>
            <w:pPr>
              <w:spacing w:line="276" w:lineRule="auto"/>
              <w:ind w:right="-107" w:rightChars="-51"/>
              <w:jc w:val="center"/>
              <w:rPr>
                <w:rFonts w:ascii="宋体" w:hAnsi="宋体"/>
                <w:szCs w:val="21"/>
              </w:rPr>
            </w:pPr>
            <w:r>
              <w:rPr>
                <w:rFonts w:ascii="宋体" w:hAnsi="宋体"/>
                <w:szCs w:val="21"/>
              </w:rPr>
              <w:t>议</w:t>
            </w:r>
          </w:p>
          <w:p>
            <w:pPr>
              <w:spacing w:line="276" w:lineRule="auto"/>
              <w:ind w:right="-107" w:rightChars="-51"/>
              <w:jc w:val="center"/>
              <w:rPr>
                <w:rFonts w:ascii="宋体" w:hAnsi="宋体"/>
                <w:szCs w:val="21"/>
              </w:rPr>
            </w:pPr>
            <w:r>
              <w:rPr>
                <w:rFonts w:hint="eastAsia" w:ascii="宋体" w:hAnsi="宋体"/>
                <w:szCs w:val="21"/>
              </w:rPr>
              <w:t>30</w:t>
            </w:r>
          </w:p>
          <w:p>
            <w:pPr>
              <w:spacing w:line="276" w:lineRule="auto"/>
              <w:ind w:right="-107" w:rightChars="-51"/>
              <w:jc w:val="center"/>
              <w:rPr>
                <w:rFonts w:ascii="Calibri" w:hAnsi="Calibri"/>
                <w:color w:val="000000"/>
              </w:rPr>
            </w:pPr>
            <w:r>
              <w:rPr>
                <w:rFonts w:hint="eastAsia" w:ascii="宋体" w:hAnsi="宋体"/>
                <w:szCs w:val="21"/>
              </w:rPr>
              <w:t>分</w:t>
            </w:r>
          </w:p>
        </w:tc>
        <w:tc>
          <w:tcPr>
            <w:tcW w:w="1606" w:type="dxa"/>
            <w:tcBorders>
              <w:top w:val="outset" w:color="auto" w:sz="6" w:space="0"/>
              <w:left w:val="outset" w:color="auto" w:sz="6" w:space="0"/>
              <w:bottom w:val="outset" w:color="auto" w:sz="6" w:space="0"/>
              <w:right w:val="outset" w:color="auto" w:sz="6" w:space="0"/>
            </w:tcBorders>
            <w:vAlign w:val="center"/>
          </w:tcPr>
          <w:p>
            <w:pPr>
              <w:spacing w:line="276" w:lineRule="auto"/>
              <w:ind w:right="-107" w:rightChars="-51"/>
              <w:jc w:val="center"/>
              <w:rPr>
                <w:rFonts w:ascii="宋体" w:hAnsi="宋体"/>
                <w:szCs w:val="21"/>
              </w:rPr>
            </w:pPr>
          </w:p>
          <w:p>
            <w:pPr>
              <w:spacing w:line="276" w:lineRule="auto"/>
              <w:ind w:right="-107" w:rightChars="-51"/>
              <w:jc w:val="center"/>
              <w:rPr>
                <w:rFonts w:ascii="宋体" w:hAnsi="宋体"/>
                <w:szCs w:val="21"/>
              </w:rPr>
            </w:pPr>
          </w:p>
          <w:p>
            <w:pPr>
              <w:spacing w:line="276" w:lineRule="auto"/>
              <w:ind w:right="-107" w:rightChars="-51"/>
              <w:jc w:val="center"/>
              <w:rPr>
                <w:rFonts w:ascii="宋体" w:hAnsi="宋体"/>
                <w:szCs w:val="21"/>
              </w:rPr>
            </w:pPr>
            <w:r>
              <w:rPr>
                <w:rFonts w:hint="eastAsia" w:ascii="宋体" w:hAnsi="宋体"/>
                <w:szCs w:val="21"/>
              </w:rPr>
              <w:t>企业实力及资质</w:t>
            </w:r>
          </w:p>
          <w:p>
            <w:pPr>
              <w:spacing w:line="276" w:lineRule="auto"/>
              <w:ind w:right="-107" w:rightChars="-51"/>
              <w:jc w:val="center"/>
              <w:rPr>
                <w:rFonts w:ascii="宋体" w:hAnsi="宋体"/>
                <w:szCs w:val="21"/>
              </w:rPr>
            </w:pPr>
            <w:r>
              <w:rPr>
                <w:rFonts w:hint="eastAsia" w:ascii="宋体" w:hAnsi="宋体"/>
                <w:szCs w:val="21"/>
              </w:rPr>
              <w:t>（4分）</w:t>
            </w:r>
          </w:p>
          <w:p>
            <w:pPr>
              <w:spacing w:line="276" w:lineRule="auto"/>
              <w:ind w:right="-107" w:rightChars="-51"/>
              <w:rPr>
                <w:rFonts w:ascii="Calibri" w:hAnsi="Calibri"/>
                <w:color w:val="000000"/>
              </w:rPr>
            </w:pPr>
          </w:p>
        </w:tc>
        <w:tc>
          <w:tcPr>
            <w:tcW w:w="694" w:type="dxa"/>
            <w:tcBorders>
              <w:top w:val="outset" w:color="auto" w:sz="6" w:space="0"/>
              <w:left w:val="outset" w:color="auto" w:sz="6" w:space="0"/>
              <w:right w:val="outset" w:color="auto" w:sz="6" w:space="0"/>
            </w:tcBorders>
            <w:vAlign w:val="center"/>
          </w:tcPr>
          <w:p>
            <w:pPr>
              <w:spacing w:line="276" w:lineRule="auto"/>
              <w:ind w:left="-107" w:leftChars="-51" w:right="-107" w:rightChars="-51"/>
              <w:jc w:val="center"/>
              <w:rPr>
                <w:rFonts w:ascii="Calibri" w:hAnsi="Calibri"/>
                <w:color w:val="000000"/>
              </w:rPr>
            </w:pPr>
            <w:r>
              <w:rPr>
                <w:rFonts w:hint="eastAsia" w:ascii="宋体" w:hAnsi="宋体"/>
                <w:szCs w:val="21"/>
              </w:rPr>
              <w:t>4分</w:t>
            </w:r>
          </w:p>
        </w:tc>
        <w:tc>
          <w:tcPr>
            <w:tcW w:w="5082" w:type="dxa"/>
            <w:tcBorders>
              <w:top w:val="outset" w:color="auto" w:sz="6" w:space="0"/>
              <w:left w:val="outset" w:color="auto" w:sz="6" w:space="0"/>
              <w:right w:val="outset" w:color="auto" w:sz="6" w:space="0"/>
            </w:tcBorders>
            <w:vAlign w:val="center"/>
          </w:tcPr>
          <w:p>
            <w:pPr>
              <w:widowControl/>
              <w:spacing w:line="276" w:lineRule="auto"/>
              <w:rPr>
                <w:rFonts w:ascii="Calibri" w:hAnsi="Calibri"/>
                <w:color w:val="000000"/>
              </w:rPr>
            </w:pPr>
            <w:r>
              <w:rPr>
                <w:rFonts w:hint="eastAsia" w:ascii="Calibri" w:hAnsi="Calibri"/>
                <w:color w:val="000000"/>
              </w:rPr>
              <w:t>投标人通过ISO9001质量体系认证且在有效期内，得2分；投标人通过ISO27001</w:t>
            </w:r>
            <w:r>
              <w:rPr>
                <w:rFonts w:hint="eastAsia" w:ascii="宋体" w:hAnsi="宋体" w:cs="宋体"/>
                <w:color w:val="000000"/>
                <w:kern w:val="0"/>
                <w:szCs w:val="21"/>
                <w:lang w:bidi="ar"/>
              </w:rPr>
              <w:t>信息安全管理体系</w:t>
            </w:r>
            <w:r>
              <w:rPr>
                <w:rFonts w:hint="eastAsia" w:ascii="Calibri" w:hAnsi="Calibri"/>
                <w:color w:val="000000"/>
              </w:rPr>
              <w:t>认证且在有效期内，得2分。</w:t>
            </w:r>
          </w:p>
          <w:p>
            <w:pPr>
              <w:widowControl/>
              <w:spacing w:line="276" w:lineRule="auto"/>
              <w:rPr>
                <w:rFonts w:ascii="Calibri" w:hAnsi="Calibri"/>
                <w:color w:val="000000"/>
              </w:rPr>
            </w:pPr>
            <w:r>
              <w:rPr>
                <w:rFonts w:hint="eastAsia" w:ascii="Calibri" w:hAnsi="Calibri"/>
                <w:color w:val="000000"/>
              </w:rPr>
              <w:t>（投标文件中提供证书复印件加盖公章）</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1026" w:type="dxa"/>
            <w:gridSpan w:val="2"/>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2.2.2(</w:t>
            </w:r>
            <w:r>
              <w:rPr>
                <w:rFonts w:hint="eastAsia" w:ascii="Calibri" w:hAnsi="Calibri"/>
                <w:color w:val="000000"/>
              </w:rPr>
              <w:t>2</w:t>
            </w:r>
            <w:r>
              <w:rPr>
                <w:rFonts w:ascii="Calibri" w:hAnsi="Calibri"/>
                <w:color w:val="000000"/>
              </w:rPr>
              <w:t>)</w:t>
            </w:r>
          </w:p>
        </w:tc>
        <w:tc>
          <w:tcPr>
            <w:tcW w:w="510" w:type="dxa"/>
            <w:vMerge w:val="continue"/>
            <w:tcBorders>
              <w:left w:val="outset" w:color="auto" w:sz="6" w:space="0"/>
              <w:right w:val="outset" w:color="auto" w:sz="6" w:space="0"/>
            </w:tcBorders>
            <w:vAlign w:val="center"/>
          </w:tcPr>
          <w:p>
            <w:pPr>
              <w:spacing w:line="276" w:lineRule="auto"/>
              <w:ind w:left="-107" w:leftChars="-51" w:right="-107" w:rightChars="-51"/>
              <w:jc w:val="center"/>
              <w:rPr>
                <w:rFonts w:ascii="Calibri" w:hAnsi="Calibri"/>
                <w:color w:val="000000"/>
              </w:rPr>
            </w:pPr>
          </w:p>
        </w:tc>
        <w:tc>
          <w:tcPr>
            <w:tcW w:w="1606" w:type="dxa"/>
            <w:tcBorders>
              <w:top w:val="outset" w:color="auto" w:sz="6" w:space="0"/>
              <w:left w:val="outset" w:color="auto" w:sz="6" w:space="0"/>
              <w:bottom w:val="outset" w:color="auto" w:sz="6" w:space="0"/>
              <w:right w:val="outset" w:color="auto" w:sz="6" w:space="0"/>
            </w:tcBorders>
            <w:vAlign w:val="center"/>
          </w:tcPr>
          <w:p>
            <w:pPr>
              <w:spacing w:line="276" w:lineRule="auto"/>
              <w:ind w:left="-107" w:leftChars="-51" w:right="-107" w:rightChars="-51"/>
              <w:jc w:val="center"/>
              <w:rPr>
                <w:rFonts w:ascii="宋体" w:hAnsi="宋体"/>
                <w:szCs w:val="21"/>
              </w:rPr>
            </w:pPr>
          </w:p>
          <w:p>
            <w:pPr>
              <w:spacing w:line="276" w:lineRule="auto"/>
              <w:ind w:left="-107" w:leftChars="-51" w:right="-107" w:rightChars="-51"/>
              <w:jc w:val="center"/>
              <w:rPr>
                <w:rFonts w:ascii="宋体" w:hAnsi="宋体"/>
                <w:szCs w:val="21"/>
              </w:rPr>
            </w:pPr>
            <w:r>
              <w:rPr>
                <w:rFonts w:hint="eastAsia" w:ascii="宋体" w:hAnsi="宋体"/>
                <w:szCs w:val="21"/>
              </w:rPr>
              <w:t>知识产权</w:t>
            </w:r>
          </w:p>
          <w:p>
            <w:pPr>
              <w:spacing w:line="276" w:lineRule="auto"/>
              <w:ind w:right="-107" w:rightChars="-51"/>
              <w:jc w:val="center"/>
              <w:rPr>
                <w:rFonts w:ascii="宋体" w:hAnsi="宋体"/>
                <w:szCs w:val="21"/>
              </w:rPr>
            </w:pPr>
            <w:r>
              <w:rPr>
                <w:rFonts w:hint="eastAsia" w:ascii="宋体" w:hAnsi="宋体"/>
                <w:szCs w:val="21"/>
              </w:rPr>
              <w:t>（8分）</w:t>
            </w:r>
          </w:p>
          <w:p>
            <w:pPr>
              <w:pStyle w:val="8"/>
              <w:spacing w:line="276" w:lineRule="auto"/>
              <w:jc w:val="center"/>
              <w:rPr>
                <w:rFonts w:hAnsi="宋体" w:cs="Times New Roman"/>
              </w:rPr>
            </w:pPr>
          </w:p>
        </w:tc>
        <w:tc>
          <w:tcPr>
            <w:tcW w:w="694" w:type="dxa"/>
            <w:tcBorders>
              <w:top w:val="outset" w:color="auto" w:sz="6" w:space="0"/>
              <w:left w:val="outset" w:color="auto" w:sz="6" w:space="0"/>
              <w:bottom w:val="outset" w:color="auto" w:sz="6" w:space="0"/>
              <w:right w:val="outset" w:color="auto" w:sz="6" w:space="0"/>
            </w:tcBorders>
            <w:vAlign w:val="center"/>
          </w:tcPr>
          <w:p>
            <w:pPr>
              <w:pStyle w:val="8"/>
              <w:spacing w:line="276" w:lineRule="auto"/>
              <w:ind w:firstLine="210" w:firstLineChars="100"/>
              <w:rPr>
                <w:rFonts w:hAnsi="宋体" w:cs="Times New Roman"/>
              </w:rPr>
            </w:pPr>
            <w:r>
              <w:rPr>
                <w:rFonts w:hint="eastAsia" w:hAnsi="宋体" w:cs="Times New Roman"/>
              </w:rPr>
              <w:t>8分</w:t>
            </w:r>
          </w:p>
        </w:tc>
        <w:tc>
          <w:tcPr>
            <w:tcW w:w="5082" w:type="dxa"/>
            <w:tcBorders>
              <w:top w:val="outset" w:color="auto" w:sz="6" w:space="0"/>
              <w:left w:val="outset" w:color="auto" w:sz="6" w:space="0"/>
              <w:bottom w:val="outset" w:color="auto" w:sz="6" w:space="0"/>
              <w:right w:val="outset" w:color="auto" w:sz="6" w:space="0"/>
            </w:tcBorders>
          </w:tcPr>
          <w:p>
            <w:pPr>
              <w:spacing w:line="276" w:lineRule="auto"/>
              <w:rPr>
                <w:rFonts w:ascii="宋体" w:hAnsi="宋体"/>
                <w:szCs w:val="21"/>
              </w:rPr>
            </w:pPr>
            <w:r>
              <w:rPr>
                <w:rFonts w:hint="eastAsia" w:ascii="宋体" w:hAnsi="宋体"/>
                <w:szCs w:val="21"/>
              </w:rPr>
              <w:t>投标人拥有自主知识产权的集装箱箱号识别软件著作权，得3分；</w:t>
            </w:r>
          </w:p>
          <w:p>
            <w:pPr>
              <w:spacing w:line="276" w:lineRule="auto"/>
              <w:rPr>
                <w:rFonts w:ascii="宋体" w:hAnsi="宋体"/>
                <w:szCs w:val="21"/>
              </w:rPr>
            </w:pPr>
            <w:r>
              <w:rPr>
                <w:rFonts w:hint="eastAsia" w:ascii="宋体" w:hAnsi="宋体"/>
                <w:szCs w:val="21"/>
              </w:rPr>
              <w:t>投标人拥有自主知识产权的集装箱破损检测软件著作权，得2分；</w:t>
            </w:r>
          </w:p>
          <w:p>
            <w:pPr>
              <w:spacing w:line="276" w:lineRule="auto"/>
              <w:rPr>
                <w:rFonts w:ascii="宋体" w:hAnsi="宋体"/>
                <w:szCs w:val="21"/>
              </w:rPr>
            </w:pPr>
            <w:r>
              <w:rPr>
                <w:rFonts w:hint="eastAsia" w:ascii="宋体" w:hAnsi="宋体"/>
                <w:szCs w:val="21"/>
              </w:rPr>
              <w:t>投标人拥有自主知识产权的车架号识别系统软件著作权，得3分；</w:t>
            </w:r>
          </w:p>
          <w:p>
            <w:pPr>
              <w:spacing w:line="276" w:lineRule="auto"/>
              <w:rPr>
                <w:rFonts w:ascii="宋体" w:hAnsi="宋体"/>
                <w:szCs w:val="21"/>
              </w:rPr>
            </w:pPr>
            <w:r>
              <w:rPr>
                <w:rFonts w:hint="eastAsia" w:ascii="宋体" w:hAnsi="宋体"/>
                <w:szCs w:val="21"/>
              </w:rPr>
              <w:t>（投标文件中提供证书复印件加盖公章）</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1026" w:type="dxa"/>
            <w:gridSpan w:val="2"/>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2.2.2(</w:t>
            </w:r>
            <w:r>
              <w:rPr>
                <w:rFonts w:hint="eastAsia" w:ascii="Calibri" w:hAnsi="Calibri"/>
                <w:color w:val="000000"/>
              </w:rPr>
              <w:t>3</w:t>
            </w:r>
            <w:r>
              <w:rPr>
                <w:rFonts w:ascii="Calibri" w:hAnsi="Calibri"/>
                <w:color w:val="000000"/>
              </w:rPr>
              <w:t>)</w:t>
            </w:r>
          </w:p>
        </w:tc>
        <w:tc>
          <w:tcPr>
            <w:tcW w:w="510" w:type="dxa"/>
            <w:vMerge w:val="continue"/>
            <w:tcBorders>
              <w:left w:val="outset" w:color="auto" w:sz="6" w:space="0"/>
              <w:bottom w:val="outset" w:color="auto" w:sz="6" w:space="0"/>
              <w:right w:val="outset" w:color="auto" w:sz="6" w:space="0"/>
            </w:tcBorders>
            <w:vAlign w:val="center"/>
          </w:tcPr>
          <w:p>
            <w:pPr>
              <w:spacing w:line="276" w:lineRule="auto"/>
              <w:ind w:left="-107" w:leftChars="-51" w:right="-107" w:rightChars="-51"/>
              <w:jc w:val="center"/>
              <w:rPr>
                <w:rFonts w:ascii="Calibri" w:hAnsi="Calibri"/>
                <w:color w:val="000000"/>
              </w:rPr>
            </w:pPr>
          </w:p>
        </w:tc>
        <w:tc>
          <w:tcPr>
            <w:tcW w:w="1606" w:type="dxa"/>
            <w:tcBorders>
              <w:top w:val="outset" w:color="auto" w:sz="6" w:space="0"/>
              <w:left w:val="outset" w:color="auto" w:sz="6" w:space="0"/>
              <w:bottom w:val="outset" w:color="auto" w:sz="6" w:space="0"/>
              <w:right w:val="outset" w:color="auto" w:sz="6" w:space="0"/>
            </w:tcBorders>
            <w:vAlign w:val="center"/>
          </w:tcPr>
          <w:p>
            <w:pPr>
              <w:spacing w:line="276" w:lineRule="auto"/>
              <w:ind w:left="-107" w:leftChars="-51" w:right="-107" w:rightChars="-51"/>
              <w:jc w:val="center"/>
              <w:rPr>
                <w:rFonts w:ascii="宋体" w:hAnsi="宋体"/>
                <w:szCs w:val="21"/>
              </w:rPr>
            </w:pPr>
          </w:p>
          <w:p>
            <w:pPr>
              <w:spacing w:line="276" w:lineRule="auto"/>
              <w:ind w:right="-107" w:rightChars="-51"/>
              <w:jc w:val="center"/>
              <w:rPr>
                <w:rFonts w:ascii="宋体" w:hAnsi="宋体"/>
                <w:szCs w:val="21"/>
              </w:rPr>
            </w:pPr>
            <w:r>
              <w:rPr>
                <w:rFonts w:hint="eastAsia" w:ascii="宋体" w:hAnsi="宋体"/>
                <w:szCs w:val="21"/>
              </w:rPr>
              <w:t>企业业绩情况</w:t>
            </w:r>
          </w:p>
          <w:p>
            <w:pPr>
              <w:spacing w:line="276" w:lineRule="auto"/>
              <w:ind w:right="-107" w:rightChars="-51"/>
              <w:jc w:val="center"/>
              <w:rPr>
                <w:rFonts w:ascii="宋体" w:hAnsi="宋体"/>
                <w:szCs w:val="21"/>
              </w:rPr>
            </w:pPr>
            <w:r>
              <w:rPr>
                <w:rFonts w:hint="eastAsia" w:ascii="宋体" w:hAnsi="宋体"/>
                <w:szCs w:val="21"/>
              </w:rPr>
              <w:t>（18分）</w:t>
            </w:r>
          </w:p>
          <w:p>
            <w:pPr>
              <w:pStyle w:val="8"/>
              <w:spacing w:line="276" w:lineRule="auto"/>
              <w:rPr>
                <w:rFonts w:hAnsi="宋体" w:cs="Times New Roman"/>
              </w:rPr>
            </w:pPr>
          </w:p>
        </w:tc>
        <w:tc>
          <w:tcPr>
            <w:tcW w:w="694" w:type="dxa"/>
            <w:tcBorders>
              <w:top w:val="outset" w:color="auto" w:sz="6" w:space="0"/>
              <w:left w:val="outset" w:color="auto" w:sz="6" w:space="0"/>
              <w:bottom w:val="outset" w:color="auto" w:sz="6" w:space="0"/>
              <w:right w:val="outset" w:color="auto" w:sz="6" w:space="0"/>
            </w:tcBorders>
            <w:vAlign w:val="center"/>
          </w:tcPr>
          <w:p>
            <w:pPr>
              <w:widowControl/>
              <w:spacing w:line="276" w:lineRule="auto"/>
              <w:jc w:val="center"/>
              <w:textAlignment w:val="center"/>
              <w:rPr>
                <w:rFonts w:ascii="宋体" w:hAnsi="宋体"/>
                <w:szCs w:val="21"/>
              </w:rPr>
            </w:pPr>
            <w:r>
              <w:rPr>
                <w:rFonts w:hint="eastAsia" w:ascii="宋体" w:hAnsi="宋体"/>
                <w:szCs w:val="21"/>
              </w:rPr>
              <w:t>18分</w:t>
            </w:r>
          </w:p>
        </w:tc>
        <w:tc>
          <w:tcPr>
            <w:tcW w:w="5082" w:type="dxa"/>
            <w:tcBorders>
              <w:top w:val="outset" w:color="auto" w:sz="6" w:space="0"/>
              <w:left w:val="outset" w:color="auto" w:sz="6" w:space="0"/>
              <w:bottom w:val="outset" w:color="auto" w:sz="6" w:space="0"/>
              <w:right w:val="outset" w:color="auto" w:sz="6" w:space="0"/>
            </w:tcBorders>
          </w:tcPr>
          <w:p>
            <w:pPr>
              <w:pStyle w:val="18"/>
              <w:widowControl w:val="0"/>
              <w:spacing w:line="276" w:lineRule="auto"/>
              <w:ind w:firstLine="0" w:firstLineChars="0"/>
              <w:contextualSpacing/>
              <w:jc w:val="both"/>
              <w:rPr>
                <w:rFonts w:ascii="宋体" w:hAnsi="宋体"/>
                <w:kern w:val="2"/>
                <w:sz w:val="21"/>
                <w:szCs w:val="21"/>
              </w:rPr>
            </w:pPr>
            <w:r>
              <w:rPr>
                <w:rFonts w:hint="eastAsia" w:ascii="宋体" w:hAnsi="宋体"/>
                <w:kern w:val="2"/>
                <w:sz w:val="21"/>
                <w:szCs w:val="21"/>
              </w:rPr>
              <w:t>投标人自2015年1月1日以来（以合同签订时间为准）承接过集装箱智能闸口项目，并在项目中应用了箱号识别及箱体验残软件的，每个得3分，最多18分。</w:t>
            </w:r>
          </w:p>
          <w:p>
            <w:pPr>
              <w:pStyle w:val="18"/>
              <w:widowControl w:val="0"/>
              <w:spacing w:line="276" w:lineRule="auto"/>
              <w:ind w:firstLine="0" w:firstLineChars="0"/>
              <w:contextualSpacing/>
              <w:jc w:val="both"/>
              <w:rPr>
                <w:rFonts w:ascii="宋体" w:hAnsi="宋体"/>
                <w:kern w:val="2"/>
                <w:sz w:val="21"/>
                <w:szCs w:val="21"/>
              </w:rPr>
            </w:pPr>
            <w:r>
              <w:rPr>
                <w:rFonts w:hint="eastAsia" w:ascii="宋体" w:hAnsi="宋体"/>
                <w:kern w:val="2"/>
                <w:sz w:val="21"/>
                <w:szCs w:val="21"/>
              </w:rPr>
              <w:t>（投标文件中提供合同原件复印件及其他证明材料复印件并能充分反映上述内容）</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rPr>
          <w:trHeight w:val="1300" w:hRule="atLeast"/>
        </w:trPr>
        <w:tc>
          <w:tcPr>
            <w:tcW w:w="1026" w:type="dxa"/>
            <w:gridSpan w:val="2"/>
            <w:tcBorders>
              <w:top w:val="outset" w:color="auto" w:sz="6" w:space="0"/>
              <w:left w:val="outset" w:color="auto" w:sz="6" w:space="0"/>
              <w:right w:val="outset" w:color="auto" w:sz="6" w:space="0"/>
            </w:tcBorders>
            <w:vAlign w:val="center"/>
          </w:tcPr>
          <w:p>
            <w:pPr>
              <w:jc w:val="center"/>
              <w:rPr>
                <w:rFonts w:ascii="Calibri" w:hAnsi="Calibri"/>
                <w:color w:val="000000"/>
              </w:rPr>
            </w:pPr>
            <w:r>
              <w:rPr>
                <w:rFonts w:ascii="Calibri" w:hAnsi="Calibri"/>
                <w:color w:val="000000"/>
              </w:rPr>
              <w:t>2.2.2(</w:t>
            </w:r>
            <w:r>
              <w:rPr>
                <w:rFonts w:hint="eastAsia" w:ascii="Calibri" w:hAnsi="Calibri"/>
                <w:color w:val="000000"/>
              </w:rPr>
              <w:t>4</w:t>
            </w:r>
            <w:r>
              <w:rPr>
                <w:rFonts w:ascii="Calibri" w:hAnsi="Calibri"/>
                <w:color w:val="000000"/>
              </w:rPr>
              <w:t>)</w:t>
            </w:r>
          </w:p>
        </w:tc>
        <w:tc>
          <w:tcPr>
            <w:tcW w:w="510" w:type="dxa"/>
            <w:vMerge w:val="restart"/>
            <w:tcBorders>
              <w:top w:val="outset" w:color="auto" w:sz="6" w:space="0"/>
              <w:left w:val="outset" w:color="auto" w:sz="6" w:space="0"/>
              <w:right w:val="outset" w:color="auto" w:sz="6" w:space="0"/>
            </w:tcBorders>
            <w:vAlign w:val="center"/>
          </w:tcPr>
          <w:p>
            <w:pPr>
              <w:spacing w:line="276" w:lineRule="auto"/>
              <w:ind w:left="-107" w:leftChars="-51" w:right="-107" w:rightChars="-51"/>
              <w:jc w:val="center"/>
              <w:rPr>
                <w:rFonts w:ascii="宋体" w:hAnsi="宋体" w:cs="宋体"/>
                <w:bCs/>
                <w:kern w:val="0"/>
                <w:szCs w:val="21"/>
              </w:rPr>
            </w:pPr>
            <w:r>
              <w:rPr>
                <w:rFonts w:ascii="宋体" w:hAnsi="宋体" w:cs="宋体"/>
                <w:bCs/>
                <w:kern w:val="0"/>
                <w:szCs w:val="21"/>
              </w:rPr>
              <w:t>技</w:t>
            </w:r>
          </w:p>
          <w:p>
            <w:pPr>
              <w:spacing w:line="276" w:lineRule="auto"/>
              <w:ind w:left="-107" w:leftChars="-51" w:right="-107" w:rightChars="-51"/>
              <w:jc w:val="center"/>
              <w:rPr>
                <w:rFonts w:ascii="宋体" w:hAnsi="宋体" w:cs="宋体"/>
                <w:bCs/>
                <w:kern w:val="0"/>
                <w:szCs w:val="21"/>
              </w:rPr>
            </w:pPr>
            <w:r>
              <w:rPr>
                <w:rFonts w:ascii="宋体" w:hAnsi="宋体" w:cs="宋体"/>
                <w:bCs/>
                <w:kern w:val="0"/>
                <w:szCs w:val="21"/>
              </w:rPr>
              <w:t>术</w:t>
            </w:r>
          </w:p>
          <w:p>
            <w:pPr>
              <w:spacing w:line="276" w:lineRule="auto"/>
              <w:ind w:left="-107" w:leftChars="-51" w:right="-107" w:rightChars="-51"/>
              <w:jc w:val="center"/>
              <w:rPr>
                <w:rFonts w:ascii="宋体" w:hAnsi="宋体" w:cs="宋体"/>
                <w:bCs/>
                <w:kern w:val="0"/>
                <w:szCs w:val="21"/>
              </w:rPr>
            </w:pPr>
            <w:r>
              <w:rPr>
                <w:rFonts w:ascii="宋体" w:hAnsi="宋体" w:cs="宋体"/>
                <w:bCs/>
                <w:kern w:val="0"/>
                <w:szCs w:val="21"/>
              </w:rPr>
              <w:t>评</w:t>
            </w:r>
          </w:p>
          <w:p>
            <w:pPr>
              <w:spacing w:line="276" w:lineRule="auto"/>
              <w:ind w:left="-107" w:leftChars="-51" w:right="-107" w:rightChars="-51"/>
              <w:jc w:val="center"/>
              <w:rPr>
                <w:rFonts w:ascii="宋体" w:hAnsi="宋体" w:cs="宋体"/>
                <w:bCs/>
                <w:kern w:val="0"/>
                <w:szCs w:val="21"/>
              </w:rPr>
            </w:pPr>
            <w:r>
              <w:rPr>
                <w:rFonts w:ascii="宋体" w:hAnsi="宋体" w:cs="宋体"/>
                <w:bCs/>
                <w:kern w:val="0"/>
                <w:szCs w:val="21"/>
              </w:rPr>
              <w:t>议</w:t>
            </w:r>
          </w:p>
          <w:p>
            <w:pPr>
              <w:spacing w:line="276" w:lineRule="auto"/>
              <w:ind w:left="-107" w:leftChars="-51" w:right="-107" w:rightChars="-51"/>
              <w:jc w:val="center"/>
              <w:rPr>
                <w:rFonts w:ascii="宋体" w:hAnsi="宋体" w:cs="宋体"/>
                <w:bCs/>
                <w:kern w:val="0"/>
                <w:szCs w:val="21"/>
              </w:rPr>
            </w:pPr>
            <w:r>
              <w:rPr>
                <w:rFonts w:hint="eastAsia" w:ascii="宋体" w:hAnsi="宋体" w:cs="宋体"/>
                <w:bCs/>
                <w:kern w:val="0"/>
                <w:szCs w:val="21"/>
              </w:rPr>
              <w:t>35</w:t>
            </w:r>
          </w:p>
          <w:p>
            <w:pPr>
              <w:spacing w:line="276" w:lineRule="auto"/>
              <w:ind w:left="-107" w:leftChars="-51" w:right="-107" w:rightChars="-51"/>
              <w:jc w:val="center"/>
              <w:rPr>
                <w:rFonts w:ascii="宋体" w:hAnsi="宋体" w:cs="宋体"/>
                <w:bCs/>
                <w:kern w:val="0"/>
                <w:szCs w:val="21"/>
              </w:rPr>
            </w:pPr>
            <w:r>
              <w:rPr>
                <w:rFonts w:hint="eastAsia" w:ascii="宋体" w:hAnsi="宋体" w:cs="宋体"/>
                <w:bCs/>
                <w:kern w:val="0"/>
                <w:szCs w:val="21"/>
              </w:rPr>
              <w:t>分</w:t>
            </w:r>
          </w:p>
        </w:tc>
        <w:tc>
          <w:tcPr>
            <w:tcW w:w="1606" w:type="dxa"/>
            <w:tcBorders>
              <w:top w:val="outset" w:color="auto" w:sz="6" w:space="0"/>
              <w:left w:val="outset" w:color="auto" w:sz="6" w:space="0"/>
              <w:right w:val="outset" w:color="auto" w:sz="6" w:space="0"/>
            </w:tcBorders>
            <w:vAlign w:val="center"/>
          </w:tcPr>
          <w:p>
            <w:pPr>
              <w:spacing w:line="276" w:lineRule="auto"/>
              <w:ind w:left="-107" w:leftChars="-51" w:right="-107" w:rightChars="-51"/>
              <w:jc w:val="center"/>
              <w:rPr>
                <w:rFonts w:ascii="宋体" w:hAnsi="宋体" w:cs="宋体"/>
                <w:bCs/>
                <w:kern w:val="0"/>
                <w:szCs w:val="21"/>
              </w:rPr>
            </w:pPr>
          </w:p>
          <w:p>
            <w:pPr>
              <w:spacing w:line="276" w:lineRule="auto"/>
              <w:ind w:left="-107" w:leftChars="-51" w:right="-107" w:rightChars="-51" w:firstLine="210" w:firstLineChars="100"/>
              <w:rPr>
                <w:rFonts w:ascii="宋体" w:hAnsi="宋体" w:cs="宋体"/>
                <w:bCs/>
                <w:kern w:val="0"/>
                <w:szCs w:val="21"/>
              </w:rPr>
            </w:pPr>
            <w:r>
              <w:rPr>
                <w:rFonts w:hint="eastAsia" w:ascii="宋体" w:hAnsi="宋体" w:cs="宋体"/>
                <w:bCs/>
                <w:kern w:val="0"/>
                <w:szCs w:val="21"/>
              </w:rPr>
              <w:t>技术主要指标</w:t>
            </w:r>
          </w:p>
          <w:p>
            <w:pPr>
              <w:spacing w:line="276" w:lineRule="auto"/>
              <w:ind w:left="-107" w:leftChars="-51" w:right="-107" w:rightChars="-51"/>
              <w:jc w:val="center"/>
              <w:rPr>
                <w:rFonts w:ascii="宋体" w:hAnsi="宋体" w:cs="宋体"/>
                <w:bCs/>
                <w:kern w:val="0"/>
                <w:szCs w:val="21"/>
              </w:rPr>
            </w:pPr>
            <w:r>
              <w:rPr>
                <w:rFonts w:hint="eastAsia" w:ascii="宋体" w:hAnsi="宋体" w:cs="宋体"/>
                <w:bCs/>
                <w:kern w:val="0"/>
                <w:szCs w:val="21"/>
              </w:rPr>
              <w:t>（14分）</w:t>
            </w:r>
          </w:p>
          <w:p>
            <w:pPr>
              <w:spacing w:line="276" w:lineRule="auto"/>
              <w:ind w:left="-107" w:leftChars="-51" w:right="-107" w:rightChars="-51"/>
              <w:jc w:val="center"/>
              <w:rPr>
                <w:rFonts w:ascii="宋体" w:hAnsi="宋体" w:cs="宋体"/>
                <w:bCs/>
                <w:kern w:val="0"/>
                <w:szCs w:val="21"/>
              </w:rPr>
            </w:pPr>
          </w:p>
        </w:tc>
        <w:tc>
          <w:tcPr>
            <w:tcW w:w="694" w:type="dxa"/>
            <w:tcBorders>
              <w:top w:val="outset" w:color="auto" w:sz="6" w:space="0"/>
              <w:left w:val="outset" w:color="auto" w:sz="6" w:space="0"/>
              <w:right w:val="outset" w:color="auto" w:sz="6" w:space="0"/>
            </w:tcBorders>
            <w:vAlign w:val="center"/>
          </w:tcPr>
          <w:p>
            <w:pPr>
              <w:widowControl/>
              <w:spacing w:line="276" w:lineRule="auto"/>
              <w:jc w:val="center"/>
              <w:rPr>
                <w:rFonts w:ascii="宋体" w:hAnsi="宋体"/>
                <w:szCs w:val="21"/>
              </w:rPr>
            </w:pPr>
            <w:r>
              <w:rPr>
                <w:rFonts w:hint="eastAsia" w:ascii="宋体" w:hAnsi="宋体"/>
                <w:szCs w:val="21"/>
              </w:rPr>
              <w:t>14分</w:t>
            </w:r>
          </w:p>
        </w:tc>
        <w:tc>
          <w:tcPr>
            <w:tcW w:w="5082" w:type="dxa"/>
            <w:tcBorders>
              <w:top w:val="outset" w:color="auto" w:sz="6" w:space="0"/>
              <w:left w:val="outset" w:color="auto" w:sz="6" w:space="0"/>
              <w:right w:val="outset" w:color="auto" w:sz="6" w:space="0"/>
            </w:tcBorders>
            <w:vAlign w:val="center"/>
          </w:tcPr>
          <w:p>
            <w:pPr>
              <w:pStyle w:val="19"/>
              <w:widowControl/>
              <w:spacing w:line="276" w:lineRule="auto"/>
              <w:ind w:firstLine="0" w:firstLineChars="0"/>
              <w:rPr>
                <w:rFonts w:ascii="宋体" w:hAnsi="宋体"/>
                <w:szCs w:val="21"/>
              </w:rPr>
            </w:pPr>
            <w:r>
              <w:rPr>
                <w:rFonts w:hint="eastAsia" w:ascii="宋体" w:hAnsi="宋体"/>
                <w:szCs w:val="21"/>
              </w:rPr>
              <w:t>投标人参照第五章《建设内容》章节中带“★”标记的几个重要技术指标，有一条不满足，扣2分，扣完为止。</w:t>
            </w:r>
          </w:p>
          <w:p>
            <w:pPr>
              <w:pStyle w:val="19"/>
              <w:widowControl/>
              <w:spacing w:line="276" w:lineRule="auto"/>
              <w:ind w:firstLine="0" w:firstLineChars="0"/>
              <w:rPr>
                <w:rFonts w:ascii="宋体" w:hAnsi="宋体"/>
                <w:szCs w:val="21"/>
              </w:rPr>
            </w:pPr>
            <w:r>
              <w:rPr>
                <w:rFonts w:hint="eastAsia" w:ascii="宋体" w:hAnsi="宋体"/>
                <w:szCs w:val="21"/>
              </w:rPr>
              <w:t>（带“★”号条款内容，需在第六章《技术评议对照表》中，单独列明，并提供原厂相关证明材料并加盖原厂公章）</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1026" w:type="dxa"/>
            <w:gridSpan w:val="2"/>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2.2.2(</w:t>
            </w:r>
            <w:r>
              <w:rPr>
                <w:rFonts w:hint="eastAsia" w:ascii="Calibri" w:hAnsi="Calibri"/>
                <w:color w:val="000000"/>
              </w:rPr>
              <w:t>5</w:t>
            </w:r>
            <w:r>
              <w:rPr>
                <w:rFonts w:ascii="Calibri" w:hAnsi="Calibri"/>
                <w:color w:val="000000"/>
              </w:rPr>
              <w:t>)</w:t>
            </w:r>
          </w:p>
        </w:tc>
        <w:tc>
          <w:tcPr>
            <w:tcW w:w="510" w:type="dxa"/>
            <w:vMerge w:val="continue"/>
            <w:tcBorders>
              <w:left w:val="outset" w:color="auto" w:sz="6" w:space="0"/>
              <w:right w:val="outset" w:color="auto" w:sz="6" w:space="0"/>
            </w:tcBorders>
            <w:vAlign w:val="center"/>
          </w:tcPr>
          <w:p>
            <w:pPr>
              <w:spacing w:line="276" w:lineRule="auto"/>
              <w:ind w:left="-107" w:leftChars="-51" w:right="-107" w:rightChars="-51"/>
              <w:jc w:val="center"/>
              <w:rPr>
                <w:rFonts w:ascii="宋体" w:hAnsi="宋体" w:cs="宋体"/>
                <w:bCs/>
                <w:kern w:val="0"/>
                <w:szCs w:val="21"/>
              </w:rPr>
            </w:pPr>
          </w:p>
        </w:tc>
        <w:tc>
          <w:tcPr>
            <w:tcW w:w="1606" w:type="dxa"/>
            <w:vMerge w:val="restart"/>
            <w:tcBorders>
              <w:top w:val="outset" w:color="auto" w:sz="6" w:space="0"/>
              <w:left w:val="outset" w:color="auto" w:sz="6" w:space="0"/>
              <w:bottom w:val="outset" w:color="auto" w:sz="6" w:space="0"/>
              <w:right w:val="outset" w:color="auto" w:sz="6" w:space="0"/>
            </w:tcBorders>
            <w:vAlign w:val="center"/>
          </w:tcPr>
          <w:p>
            <w:pPr>
              <w:spacing w:line="276" w:lineRule="auto"/>
              <w:rPr>
                <w:rFonts w:ascii="宋体" w:hAnsi="宋体"/>
                <w:szCs w:val="21"/>
              </w:rPr>
            </w:pPr>
            <w:r>
              <w:rPr>
                <w:rFonts w:hint="eastAsia" w:ascii="宋体" w:hAnsi="宋体"/>
                <w:szCs w:val="21"/>
              </w:rPr>
              <w:t>技术及实施方案</w:t>
            </w:r>
          </w:p>
          <w:p>
            <w:pPr>
              <w:spacing w:line="276" w:lineRule="auto"/>
              <w:ind w:firstLine="210" w:firstLineChars="100"/>
              <w:rPr>
                <w:rFonts w:ascii="宋体" w:hAnsi="宋体"/>
                <w:szCs w:val="21"/>
              </w:rPr>
            </w:pPr>
            <w:r>
              <w:rPr>
                <w:rFonts w:hint="eastAsia" w:ascii="宋体" w:hAnsi="宋体"/>
                <w:szCs w:val="21"/>
              </w:rPr>
              <w:t>（18分）</w:t>
            </w:r>
          </w:p>
        </w:tc>
        <w:tc>
          <w:tcPr>
            <w:tcW w:w="694" w:type="dxa"/>
            <w:tcBorders>
              <w:top w:val="outset" w:color="auto" w:sz="6" w:space="0"/>
              <w:left w:val="outset" w:color="auto" w:sz="6" w:space="0"/>
              <w:bottom w:val="outset" w:color="auto" w:sz="6" w:space="0"/>
              <w:right w:val="outset" w:color="auto" w:sz="6" w:space="0"/>
            </w:tcBorders>
            <w:vAlign w:val="center"/>
          </w:tcPr>
          <w:p>
            <w:pPr>
              <w:spacing w:line="276" w:lineRule="auto"/>
              <w:rPr>
                <w:rFonts w:ascii="宋体" w:hAnsi="宋体"/>
                <w:szCs w:val="21"/>
              </w:rPr>
            </w:pPr>
            <w:r>
              <w:rPr>
                <w:rFonts w:hint="eastAsia" w:ascii="宋体" w:hAnsi="宋体"/>
                <w:szCs w:val="21"/>
              </w:rPr>
              <w:t>4-9分</w:t>
            </w:r>
          </w:p>
        </w:tc>
        <w:tc>
          <w:tcPr>
            <w:tcW w:w="5082" w:type="dxa"/>
            <w:tcBorders>
              <w:top w:val="outset" w:color="auto" w:sz="6" w:space="0"/>
              <w:left w:val="outset" w:color="auto" w:sz="6" w:space="0"/>
              <w:bottom w:val="outset" w:color="auto" w:sz="6" w:space="0"/>
              <w:right w:val="outset" w:color="auto" w:sz="6" w:space="0"/>
            </w:tcBorders>
            <w:vAlign w:val="center"/>
          </w:tcPr>
          <w:p>
            <w:pPr>
              <w:pStyle w:val="8"/>
              <w:spacing w:line="276" w:lineRule="auto"/>
              <w:ind w:firstLine="0"/>
              <w:jc w:val="left"/>
              <w:rPr>
                <w:rFonts w:hAnsi="宋体" w:cs="宋体"/>
                <w:bCs/>
              </w:rPr>
            </w:pPr>
            <w:r>
              <w:rPr>
                <w:rFonts w:hint="eastAsia" w:hAnsi="宋体" w:cs="宋体"/>
                <w:bCs/>
              </w:rPr>
              <w:t>由评标委员会对各投标人针对本项目整体方案的完整性、结构合理性、内容详细程度等综合评比。此部分视满足程度由各位专家酌情给分。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1026" w:type="dxa"/>
            <w:gridSpan w:val="2"/>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2.2.2(</w:t>
            </w:r>
            <w:r>
              <w:rPr>
                <w:rFonts w:hint="eastAsia" w:ascii="Calibri" w:hAnsi="Calibri"/>
                <w:color w:val="000000"/>
              </w:rPr>
              <w:t>6</w:t>
            </w:r>
            <w:r>
              <w:rPr>
                <w:rFonts w:ascii="Calibri" w:hAnsi="Calibri"/>
                <w:color w:val="000000"/>
              </w:rPr>
              <w:t>)</w:t>
            </w:r>
          </w:p>
        </w:tc>
        <w:tc>
          <w:tcPr>
            <w:tcW w:w="510" w:type="dxa"/>
            <w:vMerge w:val="continue"/>
            <w:tcBorders>
              <w:left w:val="outset" w:color="auto" w:sz="6" w:space="0"/>
              <w:right w:val="outset" w:color="auto" w:sz="6" w:space="0"/>
            </w:tcBorders>
            <w:vAlign w:val="center"/>
          </w:tcPr>
          <w:p>
            <w:pPr>
              <w:spacing w:line="276" w:lineRule="auto"/>
              <w:ind w:left="-107" w:leftChars="-51" w:right="-107" w:rightChars="-51"/>
              <w:jc w:val="center"/>
              <w:rPr>
                <w:rFonts w:ascii="Calibri" w:hAnsi="Calibri"/>
                <w:color w:val="000000"/>
              </w:rPr>
            </w:pPr>
          </w:p>
        </w:tc>
        <w:tc>
          <w:tcPr>
            <w:tcW w:w="1606" w:type="dxa"/>
            <w:vMerge w:val="continue"/>
            <w:tcBorders>
              <w:top w:val="outset" w:color="auto" w:sz="6" w:space="0"/>
              <w:left w:val="outset" w:color="auto" w:sz="6" w:space="0"/>
              <w:bottom w:val="outset" w:color="auto" w:sz="6" w:space="0"/>
              <w:right w:val="outset" w:color="auto" w:sz="6" w:space="0"/>
            </w:tcBorders>
            <w:vAlign w:val="center"/>
          </w:tcPr>
          <w:p>
            <w:pPr>
              <w:spacing w:line="276" w:lineRule="auto"/>
              <w:rPr>
                <w:rFonts w:ascii="宋体" w:hAnsi="宋体"/>
                <w:szCs w:val="21"/>
              </w:rPr>
            </w:pPr>
          </w:p>
        </w:tc>
        <w:tc>
          <w:tcPr>
            <w:tcW w:w="694" w:type="dxa"/>
            <w:tcBorders>
              <w:top w:val="outset" w:color="auto" w:sz="6" w:space="0"/>
              <w:left w:val="outset" w:color="auto" w:sz="6" w:space="0"/>
              <w:bottom w:val="outset" w:color="auto" w:sz="6" w:space="0"/>
              <w:right w:val="outset" w:color="auto" w:sz="6" w:space="0"/>
            </w:tcBorders>
            <w:vAlign w:val="center"/>
          </w:tcPr>
          <w:p>
            <w:pPr>
              <w:spacing w:line="276" w:lineRule="auto"/>
              <w:rPr>
                <w:rFonts w:ascii="宋体" w:hAnsi="宋体"/>
                <w:szCs w:val="21"/>
              </w:rPr>
            </w:pPr>
            <w:r>
              <w:rPr>
                <w:rFonts w:hint="eastAsia" w:ascii="宋体" w:hAnsi="宋体"/>
                <w:szCs w:val="21"/>
              </w:rPr>
              <w:t>4-9分</w:t>
            </w:r>
          </w:p>
        </w:tc>
        <w:tc>
          <w:tcPr>
            <w:tcW w:w="5082" w:type="dxa"/>
            <w:tcBorders>
              <w:top w:val="outset" w:color="auto" w:sz="6" w:space="0"/>
              <w:left w:val="outset" w:color="auto" w:sz="6" w:space="0"/>
              <w:bottom w:val="outset" w:color="auto" w:sz="6" w:space="0"/>
              <w:right w:val="outset" w:color="auto" w:sz="6" w:space="0"/>
            </w:tcBorders>
            <w:vAlign w:val="center"/>
          </w:tcPr>
          <w:p>
            <w:pPr>
              <w:pStyle w:val="8"/>
              <w:spacing w:line="276" w:lineRule="auto"/>
              <w:ind w:firstLine="0"/>
              <w:rPr>
                <w:rFonts w:hAnsi="宋体" w:cs="宋体"/>
                <w:bCs/>
              </w:rPr>
            </w:pPr>
            <w:r>
              <w:rPr>
                <w:rFonts w:hint="eastAsia" w:hAnsi="宋体" w:cs="宋体"/>
                <w:bCs/>
              </w:rPr>
              <w:t>由评标委员会对各投标人针对集装箱智能闸口系统架构方案描述及配置情况的详尽、完善程度进行综合评比。此部分视满足程度由各位专家酌情给分。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rPr>
          <w:trHeight w:val="687" w:hRule="atLeast"/>
        </w:trPr>
        <w:tc>
          <w:tcPr>
            <w:tcW w:w="1026" w:type="dxa"/>
            <w:gridSpan w:val="2"/>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2.2.2(</w:t>
            </w:r>
            <w:r>
              <w:rPr>
                <w:rFonts w:hint="eastAsia" w:ascii="Calibri" w:hAnsi="Calibri"/>
                <w:color w:val="000000"/>
              </w:rPr>
              <w:t>7</w:t>
            </w:r>
            <w:r>
              <w:rPr>
                <w:rFonts w:ascii="Calibri" w:hAnsi="Calibri"/>
                <w:color w:val="000000"/>
              </w:rPr>
              <w:t>)</w:t>
            </w:r>
          </w:p>
        </w:tc>
        <w:tc>
          <w:tcPr>
            <w:tcW w:w="510" w:type="dxa"/>
            <w:vMerge w:val="continue"/>
            <w:tcBorders>
              <w:left w:val="outset" w:color="auto" w:sz="6" w:space="0"/>
              <w:right w:val="outset" w:color="auto" w:sz="6" w:space="0"/>
            </w:tcBorders>
            <w:vAlign w:val="center"/>
          </w:tcPr>
          <w:p>
            <w:pPr>
              <w:spacing w:line="276" w:lineRule="auto"/>
              <w:ind w:left="-107" w:leftChars="-51" w:right="-107" w:rightChars="-51"/>
              <w:jc w:val="center"/>
              <w:rPr>
                <w:rFonts w:ascii="Calibri" w:hAnsi="Calibri"/>
                <w:color w:val="000000"/>
              </w:rPr>
            </w:pPr>
          </w:p>
        </w:tc>
        <w:tc>
          <w:tcPr>
            <w:tcW w:w="1606" w:type="dxa"/>
            <w:tcBorders>
              <w:top w:val="outset" w:color="auto" w:sz="6" w:space="0"/>
              <w:left w:val="outset" w:color="auto" w:sz="6" w:space="0"/>
              <w:bottom w:val="outset" w:color="auto" w:sz="6" w:space="0"/>
              <w:right w:val="outset" w:color="auto" w:sz="6" w:space="0"/>
            </w:tcBorders>
            <w:vAlign w:val="center"/>
          </w:tcPr>
          <w:p>
            <w:pPr>
              <w:spacing w:line="276" w:lineRule="auto"/>
              <w:ind w:left="-107" w:leftChars="-51" w:right="-107" w:rightChars="-51"/>
              <w:jc w:val="center"/>
              <w:rPr>
                <w:rFonts w:ascii="宋体" w:hAnsi="宋体" w:cs="宋体"/>
                <w:bCs/>
                <w:szCs w:val="21"/>
              </w:rPr>
            </w:pPr>
            <w:r>
              <w:rPr>
                <w:rFonts w:hint="eastAsia" w:ascii="宋体" w:hAnsi="宋体" w:cs="宋体"/>
                <w:bCs/>
                <w:szCs w:val="21"/>
              </w:rPr>
              <w:t>技术力量</w:t>
            </w:r>
          </w:p>
          <w:p>
            <w:pPr>
              <w:spacing w:line="276" w:lineRule="auto"/>
              <w:ind w:left="-107" w:leftChars="-51" w:right="-107" w:rightChars="-51"/>
              <w:jc w:val="center"/>
              <w:rPr>
                <w:rFonts w:ascii="宋体" w:hAnsi="宋体" w:cs="宋体"/>
                <w:bCs/>
                <w:szCs w:val="21"/>
              </w:rPr>
            </w:pPr>
            <w:r>
              <w:rPr>
                <w:rFonts w:hint="eastAsia" w:ascii="宋体" w:hAnsi="宋体" w:cs="宋体"/>
                <w:bCs/>
                <w:szCs w:val="21"/>
              </w:rPr>
              <w:t>（1分）</w:t>
            </w:r>
          </w:p>
        </w:tc>
        <w:tc>
          <w:tcPr>
            <w:tcW w:w="694" w:type="dxa"/>
            <w:tcBorders>
              <w:top w:val="outset" w:color="auto" w:sz="6" w:space="0"/>
              <w:left w:val="outset" w:color="auto" w:sz="6" w:space="0"/>
              <w:bottom w:val="outset" w:color="auto" w:sz="6" w:space="0"/>
              <w:right w:val="outset" w:color="auto" w:sz="6" w:space="0"/>
            </w:tcBorders>
            <w:vAlign w:val="center"/>
          </w:tcPr>
          <w:p>
            <w:pPr>
              <w:spacing w:line="276" w:lineRule="auto"/>
              <w:ind w:left="-107" w:leftChars="-51" w:right="-107" w:rightChars="-51"/>
              <w:jc w:val="center"/>
              <w:rPr>
                <w:rFonts w:ascii="宋体" w:hAnsi="宋体" w:cs="宋体"/>
                <w:bCs/>
                <w:szCs w:val="21"/>
              </w:rPr>
            </w:pPr>
            <w:r>
              <w:rPr>
                <w:rFonts w:hint="eastAsia" w:ascii="宋体" w:hAnsi="宋体" w:cs="宋体"/>
                <w:bCs/>
                <w:szCs w:val="21"/>
              </w:rPr>
              <w:t>1</w:t>
            </w:r>
            <w:r>
              <w:rPr>
                <w:rFonts w:hint="eastAsia" w:ascii="宋体" w:hAnsi="宋体"/>
                <w:szCs w:val="21"/>
              </w:rPr>
              <w:t>分</w:t>
            </w:r>
          </w:p>
        </w:tc>
        <w:tc>
          <w:tcPr>
            <w:tcW w:w="5082" w:type="dxa"/>
            <w:tcBorders>
              <w:top w:val="outset" w:color="auto" w:sz="6" w:space="0"/>
              <w:left w:val="outset" w:color="auto" w:sz="6" w:space="0"/>
              <w:bottom w:val="outset" w:color="auto" w:sz="6" w:space="0"/>
              <w:right w:val="outset" w:color="auto" w:sz="6" w:space="0"/>
            </w:tcBorders>
            <w:vAlign w:val="center"/>
          </w:tcPr>
          <w:p>
            <w:pPr>
              <w:pStyle w:val="8"/>
              <w:spacing w:line="276" w:lineRule="auto"/>
              <w:ind w:firstLine="0"/>
              <w:rPr>
                <w:rFonts w:hAnsi="宋体" w:cs="宋体"/>
                <w:bCs/>
              </w:rPr>
            </w:pPr>
            <w:r>
              <w:rPr>
                <w:rFonts w:hint="eastAsia" w:hAnsi="宋体" w:cs="宋体"/>
                <w:bCs/>
              </w:rPr>
              <w:t>项目组应至少包含1名项目经理和至少1名软件工程师和1名实施工程师（提供项目经理证近3月的社保信息等证明材料，否则评标委员会将不予采信）</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1026" w:type="dxa"/>
            <w:gridSpan w:val="2"/>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2.2.2(</w:t>
            </w:r>
            <w:r>
              <w:rPr>
                <w:rFonts w:hint="eastAsia" w:ascii="Calibri" w:hAnsi="Calibri"/>
                <w:color w:val="000000"/>
              </w:rPr>
              <w:t>8</w:t>
            </w:r>
            <w:r>
              <w:rPr>
                <w:rFonts w:ascii="Calibri" w:hAnsi="Calibri"/>
                <w:color w:val="000000"/>
              </w:rPr>
              <w:t>)</w:t>
            </w:r>
          </w:p>
        </w:tc>
        <w:tc>
          <w:tcPr>
            <w:tcW w:w="510" w:type="dxa"/>
            <w:vMerge w:val="continue"/>
            <w:tcBorders>
              <w:left w:val="outset" w:color="auto" w:sz="6" w:space="0"/>
              <w:right w:val="outset" w:color="auto" w:sz="6" w:space="0"/>
            </w:tcBorders>
            <w:vAlign w:val="center"/>
          </w:tcPr>
          <w:p>
            <w:pPr>
              <w:spacing w:line="276" w:lineRule="auto"/>
              <w:ind w:left="-107" w:leftChars="-51" w:right="-107" w:rightChars="-51"/>
              <w:jc w:val="center"/>
              <w:rPr>
                <w:rFonts w:ascii="Calibri" w:hAnsi="Calibri"/>
                <w:color w:val="000000"/>
              </w:rPr>
            </w:pPr>
          </w:p>
        </w:tc>
        <w:tc>
          <w:tcPr>
            <w:tcW w:w="1606" w:type="dxa"/>
            <w:tcBorders>
              <w:top w:val="outset" w:color="auto" w:sz="6" w:space="0"/>
              <w:left w:val="outset" w:color="auto" w:sz="6" w:space="0"/>
              <w:bottom w:val="outset" w:color="auto" w:sz="6" w:space="0"/>
              <w:right w:val="outset" w:color="auto" w:sz="6" w:space="0"/>
            </w:tcBorders>
            <w:vAlign w:val="center"/>
          </w:tcPr>
          <w:p>
            <w:pPr>
              <w:spacing w:line="276" w:lineRule="auto"/>
              <w:ind w:left="-107" w:leftChars="-51" w:right="-107" w:rightChars="-51"/>
              <w:jc w:val="center"/>
              <w:rPr>
                <w:rFonts w:ascii="宋体" w:hAnsi="宋体" w:cs="宋体"/>
                <w:bCs/>
                <w:szCs w:val="21"/>
              </w:rPr>
            </w:pPr>
            <w:r>
              <w:rPr>
                <w:rFonts w:hint="eastAsia" w:ascii="宋体" w:hAnsi="宋体" w:cs="宋体"/>
                <w:bCs/>
                <w:szCs w:val="21"/>
              </w:rPr>
              <w:t>售后服务</w:t>
            </w:r>
          </w:p>
          <w:p>
            <w:pPr>
              <w:spacing w:line="276" w:lineRule="auto"/>
              <w:ind w:left="-107" w:leftChars="-51" w:right="-107" w:rightChars="-51"/>
              <w:jc w:val="center"/>
              <w:rPr>
                <w:rFonts w:ascii="宋体" w:hAnsi="宋体" w:cs="宋体"/>
                <w:bCs/>
                <w:szCs w:val="21"/>
              </w:rPr>
            </w:pPr>
            <w:r>
              <w:rPr>
                <w:rFonts w:hint="eastAsia" w:ascii="宋体" w:hAnsi="宋体" w:cs="宋体"/>
                <w:bCs/>
                <w:szCs w:val="21"/>
              </w:rPr>
              <w:t>方案</w:t>
            </w:r>
          </w:p>
          <w:p>
            <w:pPr>
              <w:spacing w:line="276" w:lineRule="auto"/>
              <w:ind w:left="-107" w:leftChars="-51" w:right="-107" w:rightChars="-51"/>
              <w:jc w:val="center"/>
              <w:rPr>
                <w:rFonts w:ascii="宋体" w:hAnsi="宋体" w:cs="宋体"/>
                <w:bCs/>
                <w:szCs w:val="21"/>
              </w:rPr>
            </w:pPr>
            <w:r>
              <w:rPr>
                <w:rFonts w:hint="eastAsia" w:ascii="宋体" w:hAnsi="宋体" w:cs="宋体"/>
                <w:bCs/>
                <w:szCs w:val="21"/>
              </w:rPr>
              <w:t>（1分）</w:t>
            </w:r>
          </w:p>
        </w:tc>
        <w:tc>
          <w:tcPr>
            <w:tcW w:w="694" w:type="dxa"/>
            <w:tcBorders>
              <w:top w:val="outset" w:color="auto" w:sz="6" w:space="0"/>
              <w:left w:val="outset" w:color="auto" w:sz="6" w:space="0"/>
              <w:bottom w:val="outset" w:color="auto" w:sz="6" w:space="0"/>
              <w:right w:val="outset" w:color="auto" w:sz="6" w:space="0"/>
            </w:tcBorders>
            <w:vAlign w:val="center"/>
          </w:tcPr>
          <w:p>
            <w:pPr>
              <w:spacing w:line="276" w:lineRule="auto"/>
              <w:ind w:left="-107" w:leftChars="-51" w:right="-107" w:rightChars="-51"/>
              <w:jc w:val="center"/>
              <w:rPr>
                <w:rFonts w:ascii="宋体" w:hAnsi="宋体" w:cs="宋体"/>
                <w:bCs/>
                <w:szCs w:val="21"/>
              </w:rPr>
            </w:pPr>
            <w:r>
              <w:rPr>
                <w:rFonts w:hint="eastAsia" w:ascii="宋体" w:hAnsi="宋体" w:cs="宋体"/>
                <w:bCs/>
                <w:szCs w:val="21"/>
              </w:rPr>
              <w:t>1</w:t>
            </w:r>
            <w:r>
              <w:rPr>
                <w:rFonts w:hint="eastAsia" w:ascii="宋体" w:hAnsi="宋体"/>
                <w:szCs w:val="21"/>
              </w:rPr>
              <w:t>分</w:t>
            </w:r>
          </w:p>
        </w:tc>
        <w:tc>
          <w:tcPr>
            <w:tcW w:w="5082" w:type="dxa"/>
            <w:tcBorders>
              <w:top w:val="outset" w:color="auto" w:sz="6" w:space="0"/>
              <w:left w:val="outset" w:color="auto" w:sz="6" w:space="0"/>
              <w:bottom w:val="outset" w:color="auto" w:sz="6" w:space="0"/>
              <w:right w:val="outset" w:color="auto" w:sz="6" w:space="0"/>
            </w:tcBorders>
            <w:vAlign w:val="center"/>
          </w:tcPr>
          <w:p>
            <w:pPr>
              <w:pStyle w:val="8"/>
              <w:spacing w:line="276" w:lineRule="auto"/>
              <w:ind w:firstLine="0"/>
              <w:rPr>
                <w:rFonts w:hAnsi="宋体" w:cs="宋体"/>
                <w:bCs/>
              </w:rPr>
            </w:pPr>
            <w:r>
              <w:rPr>
                <w:rFonts w:hint="eastAsia" w:hAnsi="宋体" w:cs="宋体"/>
                <w:bCs/>
              </w:rPr>
              <w:t>由专家根据各投标单位的方案进行评定，</w:t>
            </w:r>
            <w:r>
              <w:rPr>
                <w:rFonts w:hAnsi="宋体" w:cs="宋体"/>
                <w:bCs/>
              </w:rPr>
              <w:t>根据售后服务方式、响应时间、故障处理等因素</w:t>
            </w:r>
            <w:r>
              <w:rPr>
                <w:rFonts w:hint="eastAsia" w:hAnsi="宋体" w:cs="宋体"/>
                <w:bCs/>
              </w:rPr>
              <w:t>进行综合评分</w:t>
            </w:r>
            <w:r>
              <w:rPr>
                <w:rFonts w:hAnsi="宋体" w:cs="宋体"/>
                <w:bCs/>
              </w:rPr>
              <w:t>，</w:t>
            </w:r>
            <w:r>
              <w:rPr>
                <w:rFonts w:hint="eastAsia" w:hAnsi="宋体" w:cs="宋体"/>
                <w:bCs/>
              </w:rPr>
              <w:t>服务方案详尽且具有针对性，满足的得1</w:t>
            </w:r>
            <w:r>
              <w:rPr>
                <w:rFonts w:hAnsi="宋体" w:cs="宋体"/>
                <w:bCs/>
              </w:rPr>
              <w:t>分，</w:t>
            </w:r>
            <w:r>
              <w:rPr>
                <w:rFonts w:hint="eastAsia" w:hAnsi="宋体" w:cs="宋体"/>
                <w:bCs/>
              </w:rPr>
              <w:t>不满足的</w:t>
            </w:r>
            <w:r>
              <w:rPr>
                <w:rFonts w:hAnsi="宋体" w:cs="宋体"/>
                <w:bCs/>
              </w:rPr>
              <w:t>得0分。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1026" w:type="dxa"/>
            <w:gridSpan w:val="2"/>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2.2.2(</w:t>
            </w:r>
            <w:r>
              <w:rPr>
                <w:rFonts w:hint="eastAsia" w:ascii="Calibri" w:hAnsi="Calibri"/>
                <w:color w:val="000000"/>
              </w:rPr>
              <w:t>9</w:t>
            </w:r>
            <w:r>
              <w:rPr>
                <w:rFonts w:ascii="Calibri" w:hAnsi="Calibri"/>
                <w:color w:val="000000"/>
              </w:rPr>
              <w:t>)</w:t>
            </w:r>
          </w:p>
        </w:tc>
        <w:tc>
          <w:tcPr>
            <w:tcW w:w="510" w:type="dxa"/>
            <w:vMerge w:val="continue"/>
            <w:tcBorders>
              <w:left w:val="outset" w:color="auto" w:sz="6" w:space="0"/>
              <w:bottom w:val="outset" w:color="auto" w:sz="6" w:space="0"/>
              <w:right w:val="outset" w:color="auto" w:sz="6" w:space="0"/>
            </w:tcBorders>
            <w:vAlign w:val="center"/>
          </w:tcPr>
          <w:p>
            <w:pPr>
              <w:spacing w:line="276" w:lineRule="auto"/>
              <w:ind w:left="-107" w:leftChars="-51" w:right="-107" w:rightChars="-51"/>
              <w:jc w:val="center"/>
              <w:rPr>
                <w:rFonts w:ascii="Calibri" w:hAnsi="Calibri"/>
                <w:color w:val="000000"/>
              </w:rPr>
            </w:pPr>
          </w:p>
        </w:tc>
        <w:tc>
          <w:tcPr>
            <w:tcW w:w="1606" w:type="dxa"/>
            <w:tcBorders>
              <w:top w:val="outset" w:color="auto" w:sz="6" w:space="0"/>
              <w:left w:val="outset" w:color="auto" w:sz="6" w:space="0"/>
              <w:bottom w:val="outset" w:color="auto" w:sz="6" w:space="0"/>
              <w:right w:val="outset" w:color="auto" w:sz="6" w:space="0"/>
            </w:tcBorders>
            <w:vAlign w:val="center"/>
          </w:tcPr>
          <w:p>
            <w:pPr>
              <w:spacing w:line="276" w:lineRule="auto"/>
              <w:ind w:left="-107" w:leftChars="-51" w:right="-107" w:rightChars="-51"/>
              <w:jc w:val="center"/>
              <w:rPr>
                <w:rFonts w:ascii="宋体" w:hAnsi="宋体" w:cs="宋体"/>
                <w:bCs/>
                <w:szCs w:val="21"/>
              </w:rPr>
            </w:pPr>
            <w:r>
              <w:rPr>
                <w:rFonts w:hint="eastAsia" w:ascii="宋体" w:hAnsi="宋体" w:cs="宋体"/>
                <w:bCs/>
                <w:szCs w:val="21"/>
              </w:rPr>
              <w:t>培训方案</w:t>
            </w:r>
          </w:p>
          <w:p>
            <w:pPr>
              <w:pStyle w:val="8"/>
              <w:spacing w:line="276" w:lineRule="auto"/>
              <w:ind w:left="-107" w:leftChars="-51" w:right="-107" w:rightChars="-51" w:firstLine="630" w:firstLineChars="300"/>
              <w:rPr>
                <w:rFonts w:hAnsi="宋体" w:cs="宋体"/>
                <w:bCs/>
              </w:rPr>
            </w:pPr>
            <w:r>
              <w:rPr>
                <w:rFonts w:hint="eastAsia" w:hAnsi="宋体" w:cs="宋体"/>
                <w:bCs/>
              </w:rPr>
              <w:t>（1分）</w:t>
            </w:r>
          </w:p>
        </w:tc>
        <w:tc>
          <w:tcPr>
            <w:tcW w:w="694" w:type="dxa"/>
            <w:tcBorders>
              <w:top w:val="outset" w:color="auto" w:sz="6" w:space="0"/>
              <w:left w:val="outset" w:color="auto" w:sz="6" w:space="0"/>
              <w:bottom w:val="outset" w:color="auto" w:sz="6" w:space="0"/>
              <w:right w:val="outset" w:color="auto" w:sz="6" w:space="0"/>
            </w:tcBorders>
            <w:vAlign w:val="center"/>
          </w:tcPr>
          <w:p>
            <w:pPr>
              <w:spacing w:line="276" w:lineRule="auto"/>
              <w:ind w:left="-107" w:leftChars="-51" w:right="-107" w:rightChars="-51"/>
              <w:jc w:val="center"/>
              <w:rPr>
                <w:rFonts w:ascii="宋体" w:hAnsi="宋体" w:cs="宋体"/>
                <w:bCs/>
                <w:szCs w:val="21"/>
              </w:rPr>
            </w:pPr>
            <w:r>
              <w:rPr>
                <w:rFonts w:hint="eastAsia" w:ascii="宋体" w:hAnsi="宋体" w:cs="宋体"/>
                <w:bCs/>
                <w:szCs w:val="21"/>
              </w:rPr>
              <w:t>1</w:t>
            </w:r>
            <w:r>
              <w:rPr>
                <w:rFonts w:hint="eastAsia" w:ascii="宋体" w:hAnsi="宋体"/>
                <w:szCs w:val="21"/>
              </w:rPr>
              <w:t>分</w:t>
            </w:r>
          </w:p>
        </w:tc>
        <w:tc>
          <w:tcPr>
            <w:tcW w:w="5082" w:type="dxa"/>
            <w:tcBorders>
              <w:top w:val="outset" w:color="auto" w:sz="6" w:space="0"/>
              <w:left w:val="outset" w:color="auto" w:sz="6" w:space="0"/>
              <w:bottom w:val="outset" w:color="auto" w:sz="6" w:space="0"/>
              <w:right w:val="outset" w:color="auto" w:sz="6" w:space="0"/>
            </w:tcBorders>
            <w:vAlign w:val="center"/>
          </w:tcPr>
          <w:p>
            <w:pPr>
              <w:pStyle w:val="8"/>
              <w:spacing w:line="276" w:lineRule="auto"/>
              <w:ind w:firstLine="0"/>
              <w:rPr>
                <w:rFonts w:hAnsi="宋体" w:cs="宋体"/>
                <w:bCs/>
              </w:rPr>
            </w:pPr>
            <w:r>
              <w:rPr>
                <w:rFonts w:hint="eastAsia" w:hAnsi="宋体" w:cs="宋体"/>
                <w:bCs/>
              </w:rPr>
              <w:t>能够提供投标产品现场培训，培训方案及内容详细，满足得1分，不满足得0分。</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Ex>
        <w:tc>
          <w:tcPr>
            <w:tcW w:w="1026" w:type="dxa"/>
            <w:gridSpan w:val="2"/>
            <w:tcBorders>
              <w:top w:val="outset" w:color="auto" w:sz="6" w:space="0"/>
              <w:left w:val="outset" w:color="auto" w:sz="6" w:space="0"/>
              <w:bottom w:val="outset" w:color="auto" w:sz="6" w:space="0"/>
              <w:right w:val="outset" w:color="auto" w:sz="6" w:space="0"/>
            </w:tcBorders>
            <w:vAlign w:val="center"/>
          </w:tcPr>
          <w:p>
            <w:pPr>
              <w:jc w:val="center"/>
              <w:rPr>
                <w:rFonts w:ascii="Calibri" w:hAnsi="Calibri"/>
                <w:color w:val="000000"/>
              </w:rPr>
            </w:pPr>
            <w:r>
              <w:rPr>
                <w:rFonts w:ascii="Calibri" w:hAnsi="Calibri"/>
                <w:color w:val="000000"/>
              </w:rPr>
              <w:t>2.2.2</w:t>
            </w:r>
            <w:r>
              <w:rPr>
                <w:rFonts w:hint="eastAsia" w:ascii="Calibri" w:hAnsi="Calibri"/>
                <w:color w:val="000000"/>
              </w:rPr>
              <w:t>（10）</w:t>
            </w:r>
          </w:p>
        </w:tc>
        <w:tc>
          <w:tcPr>
            <w:tcW w:w="2116" w:type="dxa"/>
            <w:gridSpan w:val="2"/>
            <w:tcBorders>
              <w:top w:val="outset" w:color="auto" w:sz="6" w:space="0"/>
              <w:left w:val="outset" w:color="auto" w:sz="6" w:space="0"/>
              <w:bottom w:val="outset" w:color="auto" w:sz="6" w:space="0"/>
              <w:right w:val="outset" w:color="auto" w:sz="6" w:space="0"/>
            </w:tcBorders>
            <w:vAlign w:val="center"/>
          </w:tcPr>
          <w:p>
            <w:pPr>
              <w:spacing w:line="276" w:lineRule="auto"/>
              <w:ind w:left="-107" w:leftChars="-51" w:right="-107" w:rightChars="-51"/>
              <w:jc w:val="center"/>
              <w:rPr>
                <w:rFonts w:ascii="宋体" w:hAnsi="宋体"/>
                <w:szCs w:val="21"/>
              </w:rPr>
            </w:pPr>
            <w:r>
              <w:rPr>
                <w:rFonts w:ascii="宋体" w:hAnsi="宋体"/>
                <w:szCs w:val="21"/>
              </w:rPr>
              <w:t>价格评</w:t>
            </w:r>
          </w:p>
          <w:p>
            <w:pPr>
              <w:spacing w:line="276" w:lineRule="auto"/>
              <w:ind w:left="-107" w:leftChars="-51" w:right="-107" w:rightChars="-51"/>
              <w:jc w:val="center"/>
              <w:rPr>
                <w:rFonts w:ascii="宋体" w:hAnsi="宋体"/>
                <w:szCs w:val="21"/>
              </w:rPr>
            </w:pPr>
            <w:r>
              <w:rPr>
                <w:rFonts w:ascii="宋体" w:hAnsi="宋体"/>
                <w:szCs w:val="21"/>
              </w:rPr>
              <w:t>议</w:t>
            </w:r>
            <w:r>
              <w:rPr>
                <w:rFonts w:hint="eastAsia" w:ascii="宋体" w:hAnsi="宋体"/>
                <w:szCs w:val="21"/>
              </w:rPr>
              <w:t>35分</w:t>
            </w:r>
          </w:p>
        </w:tc>
        <w:tc>
          <w:tcPr>
            <w:tcW w:w="694" w:type="dxa"/>
            <w:tcBorders>
              <w:top w:val="outset" w:color="auto" w:sz="6" w:space="0"/>
              <w:left w:val="outset" w:color="auto" w:sz="6" w:space="0"/>
              <w:bottom w:val="outset" w:color="auto" w:sz="6" w:space="0"/>
              <w:right w:val="outset" w:color="auto" w:sz="6" w:space="0"/>
            </w:tcBorders>
            <w:vAlign w:val="center"/>
          </w:tcPr>
          <w:p>
            <w:pPr>
              <w:spacing w:line="276" w:lineRule="auto"/>
              <w:ind w:left="-107" w:leftChars="-51" w:right="-107" w:rightChars="-51"/>
              <w:jc w:val="center"/>
              <w:rPr>
                <w:rFonts w:ascii="Calibri" w:hAnsi="宋体"/>
                <w:snapToGrid w:val="0"/>
              </w:rPr>
            </w:pPr>
            <w:r>
              <w:rPr>
                <w:rFonts w:hint="eastAsia" w:ascii="宋体" w:hAnsi="宋体"/>
                <w:szCs w:val="21"/>
              </w:rPr>
              <w:t>35分</w:t>
            </w:r>
          </w:p>
        </w:tc>
        <w:tc>
          <w:tcPr>
            <w:tcW w:w="5082" w:type="dxa"/>
            <w:tcBorders>
              <w:top w:val="outset" w:color="auto" w:sz="6" w:space="0"/>
              <w:left w:val="outset" w:color="auto" w:sz="6" w:space="0"/>
              <w:bottom w:val="outset" w:color="auto" w:sz="6" w:space="0"/>
              <w:right w:val="outset" w:color="auto" w:sz="6" w:space="0"/>
            </w:tcBorders>
            <w:vAlign w:val="center"/>
          </w:tcPr>
          <w:p>
            <w:pPr>
              <w:pStyle w:val="18"/>
              <w:widowControl w:val="0"/>
              <w:spacing w:line="276" w:lineRule="auto"/>
              <w:ind w:firstLine="0" w:firstLineChars="0"/>
              <w:contextualSpacing/>
              <w:jc w:val="both"/>
              <w:rPr>
                <w:rFonts w:ascii="Calibri" w:hAnsi="宋体" w:cs="宋体"/>
                <w:snapToGrid w:val="0"/>
              </w:rPr>
            </w:pPr>
            <w:r>
              <w:rPr>
                <w:rFonts w:hint="eastAsia" w:ascii="宋体" w:hAnsi="宋体" w:cs="宋体"/>
                <w:bCs/>
                <w:kern w:val="2"/>
                <w:sz w:val="21"/>
                <w:szCs w:val="21"/>
              </w:rPr>
              <w:t>评标小组只对形式、资格及响应性合格的投标文件进行价格评议，报价分采用低价优先法计算，即满足招标文件要求且投标报价最低的报价为评标基准价，其价格分为35分。其他投标人的价格分按照下列公式计算：报价得分=(评标基准价／投标报价)× 35 。</w:t>
            </w:r>
          </w:p>
        </w:tc>
      </w:tr>
    </w:tbl>
    <w:p>
      <w:pPr>
        <w:spacing w:after="100" w:afterAutospacing="1"/>
        <w:rPr>
          <w:color w:val="000000"/>
          <w:sz w:val="20"/>
        </w:rPr>
      </w:pPr>
      <w:bookmarkStart w:id="58" w:name="EB779974150ef34e1e8c0c08236b82cf71"/>
      <w:r>
        <w:rPr>
          <w:rFonts w:hint="eastAsia"/>
          <w:color w:val="000000"/>
          <w:sz w:val="20"/>
        </w:rPr>
        <w:t xml:space="preserve"> </w:t>
      </w:r>
      <w:bookmarkEnd w:id="58"/>
      <w:bookmarkStart w:id="59" w:name="_Toc522293521"/>
    </w:p>
    <w:p>
      <w:pPr>
        <w:spacing w:after="100" w:afterAutospacing="1"/>
        <w:rPr>
          <w:color w:val="000000"/>
        </w:rPr>
      </w:pPr>
      <w:r>
        <w:rPr>
          <w:color w:val="000000"/>
          <w:sz w:val="20"/>
        </w:rPr>
        <w:br w:type="page"/>
      </w:r>
    </w:p>
    <w:p>
      <w:pPr>
        <w:pStyle w:val="3"/>
        <w:rPr>
          <w:color w:val="000000"/>
        </w:rPr>
      </w:pPr>
      <w:bookmarkStart w:id="60" w:name="_Toc18672573"/>
      <w:r>
        <w:rPr>
          <w:rFonts w:hint="eastAsia"/>
          <w:color w:val="000000"/>
        </w:rPr>
        <w:t>1. 评标方法</w:t>
      </w:r>
      <w:bookmarkEnd w:id="59"/>
      <w:bookmarkEnd w:id="60"/>
    </w:p>
    <w:p>
      <w:pPr>
        <w:spacing w:line="400" w:lineRule="exact"/>
        <w:ind w:firstLine="482"/>
        <w:rPr>
          <w:color w:val="000000"/>
        </w:rPr>
      </w:pPr>
      <w:r>
        <w:rPr>
          <w:rFonts w:hint="eastAsia"/>
          <w:color w:val="000000"/>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投标报价也相等的，由招标人自行确定。</w:t>
      </w:r>
    </w:p>
    <w:p>
      <w:pPr>
        <w:pStyle w:val="3"/>
        <w:rPr>
          <w:color w:val="000000"/>
        </w:rPr>
      </w:pPr>
      <w:bookmarkStart w:id="61" w:name="_Toc18672574"/>
      <w:bookmarkStart w:id="62" w:name="_Toc522293522"/>
      <w:r>
        <w:rPr>
          <w:rFonts w:hint="eastAsia"/>
          <w:color w:val="000000"/>
        </w:rPr>
        <w:t>2. 评审标准</w:t>
      </w:r>
      <w:bookmarkEnd w:id="61"/>
      <w:bookmarkEnd w:id="62"/>
    </w:p>
    <w:p>
      <w:pPr>
        <w:pStyle w:val="4"/>
        <w:rPr>
          <w:color w:val="000000"/>
        </w:rPr>
      </w:pPr>
      <w:r>
        <w:rPr>
          <w:rFonts w:hint="eastAsia"/>
          <w:color w:val="000000"/>
        </w:rPr>
        <w:t>2.1 初步评审标准</w:t>
      </w:r>
    </w:p>
    <w:p>
      <w:pPr>
        <w:spacing w:line="400" w:lineRule="exact"/>
        <w:ind w:firstLine="482"/>
        <w:rPr>
          <w:color w:val="000000"/>
        </w:rPr>
      </w:pPr>
      <w:r>
        <w:rPr>
          <w:rFonts w:hint="eastAsia"/>
          <w:color w:val="000000"/>
        </w:rPr>
        <w:t>2.1.1 形式评审标准：见评标办法前附表。</w:t>
      </w:r>
    </w:p>
    <w:p>
      <w:pPr>
        <w:spacing w:line="400" w:lineRule="exact"/>
        <w:ind w:firstLine="482"/>
        <w:rPr>
          <w:color w:val="000000"/>
        </w:rPr>
      </w:pPr>
      <w:r>
        <w:rPr>
          <w:rFonts w:hint="eastAsia"/>
          <w:color w:val="000000"/>
        </w:rPr>
        <w:t>2.1.2 资格评审标准：见评标办法前附表。</w:t>
      </w:r>
    </w:p>
    <w:p>
      <w:pPr>
        <w:spacing w:line="400" w:lineRule="exact"/>
        <w:ind w:firstLine="482"/>
        <w:rPr>
          <w:color w:val="000000"/>
        </w:rPr>
      </w:pPr>
      <w:r>
        <w:rPr>
          <w:rFonts w:hint="eastAsia"/>
          <w:color w:val="000000"/>
        </w:rPr>
        <w:t>2.1.3 响应性评审标准：见评标办法前附表。</w:t>
      </w:r>
    </w:p>
    <w:p>
      <w:pPr>
        <w:pStyle w:val="4"/>
        <w:rPr>
          <w:color w:val="000000"/>
        </w:rPr>
      </w:pPr>
      <w:r>
        <w:rPr>
          <w:rFonts w:hint="eastAsia"/>
          <w:color w:val="000000"/>
        </w:rPr>
        <w:t>2.2 分值构成与评分标准</w:t>
      </w:r>
    </w:p>
    <w:p>
      <w:pPr>
        <w:spacing w:line="400" w:lineRule="exact"/>
        <w:ind w:firstLine="482"/>
        <w:rPr>
          <w:color w:val="000000"/>
        </w:rPr>
      </w:pPr>
      <w:r>
        <w:rPr>
          <w:rFonts w:hint="eastAsia"/>
          <w:color w:val="000000"/>
        </w:rPr>
        <w:t>2.2.1 分值构成</w:t>
      </w:r>
    </w:p>
    <w:p>
      <w:pPr>
        <w:spacing w:line="400" w:lineRule="exact"/>
        <w:ind w:firstLine="482"/>
        <w:rPr>
          <w:color w:val="000000"/>
        </w:rPr>
      </w:pPr>
      <w:r>
        <w:rPr>
          <w:rFonts w:hint="eastAsia"/>
          <w:color w:val="000000"/>
        </w:rPr>
        <w:t>（1）商务文件：见评标办法前附表；</w:t>
      </w:r>
    </w:p>
    <w:p>
      <w:pPr>
        <w:spacing w:line="400" w:lineRule="exact"/>
        <w:ind w:firstLine="482"/>
        <w:rPr>
          <w:color w:val="000000"/>
        </w:rPr>
      </w:pPr>
      <w:r>
        <w:rPr>
          <w:rFonts w:hint="eastAsia"/>
          <w:color w:val="000000"/>
        </w:rPr>
        <w:t>（2）技术文件：见评标办法前附表；</w:t>
      </w:r>
    </w:p>
    <w:p>
      <w:pPr>
        <w:spacing w:line="400" w:lineRule="exact"/>
        <w:ind w:firstLine="482"/>
        <w:rPr>
          <w:color w:val="000000"/>
        </w:rPr>
      </w:pPr>
      <w:r>
        <w:rPr>
          <w:rFonts w:hint="eastAsia"/>
          <w:color w:val="000000"/>
        </w:rPr>
        <w:t>（3）投标报价：见评标办法前附表；</w:t>
      </w:r>
    </w:p>
    <w:p>
      <w:pPr>
        <w:spacing w:line="400" w:lineRule="exact"/>
        <w:ind w:firstLine="482"/>
        <w:rPr>
          <w:color w:val="000000"/>
        </w:rPr>
      </w:pPr>
      <w:r>
        <w:rPr>
          <w:rFonts w:hint="eastAsia"/>
          <w:color w:val="000000"/>
        </w:rPr>
        <w:t>2.2.2 评分标准</w:t>
      </w:r>
    </w:p>
    <w:p>
      <w:pPr>
        <w:spacing w:line="400" w:lineRule="exact"/>
        <w:ind w:firstLine="482"/>
        <w:rPr>
          <w:color w:val="000000"/>
        </w:rPr>
      </w:pPr>
      <w:r>
        <w:rPr>
          <w:rFonts w:hint="eastAsia"/>
          <w:color w:val="000000"/>
        </w:rPr>
        <w:t>（1）商务文件评分标准：见评标办法前附表；</w:t>
      </w:r>
    </w:p>
    <w:p>
      <w:pPr>
        <w:spacing w:line="400" w:lineRule="exact"/>
        <w:ind w:firstLine="482"/>
        <w:rPr>
          <w:color w:val="000000"/>
        </w:rPr>
      </w:pPr>
      <w:r>
        <w:rPr>
          <w:rFonts w:hint="eastAsia"/>
          <w:color w:val="000000"/>
        </w:rPr>
        <w:t>（2）技术文件评分标准：见评标办法前附表；</w:t>
      </w:r>
    </w:p>
    <w:p>
      <w:pPr>
        <w:spacing w:line="400" w:lineRule="exact"/>
        <w:ind w:firstLine="482"/>
        <w:rPr>
          <w:color w:val="000000"/>
        </w:rPr>
      </w:pPr>
      <w:r>
        <w:rPr>
          <w:rFonts w:hint="eastAsia"/>
          <w:color w:val="000000"/>
        </w:rPr>
        <w:t>（3）投标报价评分标准：见评标办法前附表；</w:t>
      </w:r>
    </w:p>
    <w:p>
      <w:pPr>
        <w:spacing w:line="400" w:lineRule="exact"/>
        <w:rPr>
          <w:color w:val="000000"/>
        </w:rPr>
      </w:pPr>
    </w:p>
    <w:p>
      <w:pPr>
        <w:pStyle w:val="3"/>
        <w:rPr>
          <w:color w:val="000000"/>
        </w:rPr>
      </w:pPr>
      <w:bookmarkStart w:id="63" w:name="_Toc522293523"/>
      <w:bookmarkStart w:id="64" w:name="_Toc18672575"/>
      <w:r>
        <w:rPr>
          <w:rFonts w:hint="eastAsia"/>
          <w:color w:val="000000"/>
        </w:rPr>
        <w:t>3. 评标程序</w:t>
      </w:r>
      <w:bookmarkEnd w:id="63"/>
      <w:bookmarkEnd w:id="64"/>
    </w:p>
    <w:p>
      <w:pPr>
        <w:pStyle w:val="4"/>
        <w:rPr>
          <w:color w:val="000000"/>
        </w:rPr>
      </w:pPr>
      <w:r>
        <w:rPr>
          <w:color w:val="000000"/>
        </w:rPr>
        <w:t>3.1</w:t>
      </w:r>
      <w:r>
        <w:rPr>
          <w:rFonts w:hint="eastAsia"/>
          <w:color w:val="000000"/>
        </w:rPr>
        <w:t xml:space="preserve"> </w:t>
      </w:r>
      <w:r>
        <w:rPr>
          <w:color w:val="000000"/>
        </w:rPr>
        <w:t>评标准备</w:t>
      </w:r>
    </w:p>
    <w:p>
      <w:pPr>
        <w:spacing w:line="400" w:lineRule="exact"/>
        <w:ind w:firstLine="482"/>
        <w:rPr>
          <w:color w:val="000000"/>
        </w:rPr>
      </w:pPr>
      <w:r>
        <w:rPr>
          <w:color w:val="000000"/>
        </w:rPr>
        <w:t>3.</w:t>
      </w:r>
      <w:r>
        <w:rPr>
          <w:rFonts w:hint="eastAsia"/>
          <w:color w:val="000000"/>
        </w:rPr>
        <w:t>1</w:t>
      </w:r>
      <w:r>
        <w:rPr>
          <w:color w:val="000000"/>
        </w:rPr>
        <w:t>.1</w:t>
      </w:r>
      <w:r>
        <w:rPr>
          <w:rFonts w:hint="eastAsia"/>
          <w:color w:val="000000"/>
        </w:rPr>
        <w:t xml:space="preserve"> </w:t>
      </w:r>
      <w:r>
        <w:rPr>
          <w:color w:val="000000"/>
        </w:rPr>
        <w:t>评标委员会成员签到</w:t>
      </w:r>
    </w:p>
    <w:p>
      <w:pPr>
        <w:spacing w:line="400" w:lineRule="exact"/>
        <w:ind w:firstLine="482"/>
        <w:rPr>
          <w:color w:val="000000"/>
        </w:rPr>
      </w:pPr>
      <w:r>
        <w:rPr>
          <w:rFonts w:hint="eastAsia"/>
          <w:color w:val="000000"/>
        </w:rPr>
        <w:t>评标委员会成员到达评标现场时应在签到表上签到以证明其出席。</w:t>
      </w:r>
    </w:p>
    <w:p>
      <w:pPr>
        <w:spacing w:line="400" w:lineRule="exact"/>
        <w:ind w:firstLine="482"/>
        <w:rPr>
          <w:color w:val="000000"/>
        </w:rPr>
      </w:pPr>
      <w:r>
        <w:rPr>
          <w:color w:val="000000"/>
        </w:rPr>
        <w:t>3.</w:t>
      </w:r>
      <w:r>
        <w:rPr>
          <w:rFonts w:hint="eastAsia"/>
          <w:color w:val="000000"/>
        </w:rPr>
        <w:t>1</w:t>
      </w:r>
      <w:r>
        <w:rPr>
          <w:color w:val="000000"/>
        </w:rPr>
        <w:t>.2</w:t>
      </w:r>
      <w:r>
        <w:rPr>
          <w:rFonts w:hint="eastAsia"/>
          <w:color w:val="000000"/>
        </w:rPr>
        <w:t xml:space="preserve"> </w:t>
      </w:r>
      <w:r>
        <w:rPr>
          <w:color w:val="000000"/>
        </w:rPr>
        <w:t>评标委员会的分工</w:t>
      </w:r>
    </w:p>
    <w:p>
      <w:pPr>
        <w:spacing w:line="400" w:lineRule="exact"/>
        <w:ind w:firstLine="482"/>
        <w:rPr>
          <w:color w:val="000000"/>
        </w:rPr>
      </w:pPr>
      <w:r>
        <w:rPr>
          <w:rFonts w:hint="eastAsia"/>
          <w:color w:val="000000"/>
        </w:rPr>
        <w:t>由评标委员会首先推选一名评标委员会负责人，评标委员会负责人负责评标活动的组织领导工作，评标委员会负责人在与其他评标委员会成员具有同等表决权。</w:t>
      </w:r>
    </w:p>
    <w:p>
      <w:pPr>
        <w:spacing w:line="400" w:lineRule="exact"/>
        <w:ind w:firstLine="482"/>
        <w:rPr>
          <w:color w:val="000000"/>
        </w:rPr>
      </w:pPr>
      <w:r>
        <w:rPr>
          <w:color w:val="000000"/>
        </w:rPr>
        <w:t>3.</w:t>
      </w:r>
      <w:r>
        <w:rPr>
          <w:rFonts w:hint="eastAsia"/>
          <w:color w:val="000000"/>
        </w:rPr>
        <w:t>1</w:t>
      </w:r>
      <w:r>
        <w:rPr>
          <w:color w:val="000000"/>
        </w:rPr>
        <w:t>.3</w:t>
      </w:r>
      <w:r>
        <w:rPr>
          <w:rFonts w:hint="eastAsia"/>
          <w:color w:val="000000"/>
        </w:rPr>
        <w:t xml:space="preserve"> </w:t>
      </w:r>
      <w:r>
        <w:rPr>
          <w:color w:val="000000"/>
        </w:rPr>
        <w:t>熟悉文件资料</w:t>
      </w:r>
    </w:p>
    <w:p>
      <w:pPr>
        <w:spacing w:line="400" w:lineRule="exact"/>
        <w:ind w:firstLine="482"/>
        <w:rPr>
          <w:color w:val="000000"/>
        </w:rPr>
      </w:pPr>
      <w:r>
        <w:rPr>
          <w:color w:val="000000"/>
        </w:rPr>
        <w:t>3</w:t>
      </w:r>
      <w:r>
        <w:rPr>
          <w:rFonts w:hint="eastAsia"/>
          <w:color w:val="000000"/>
        </w:rPr>
        <w:t>.1</w:t>
      </w:r>
      <w:r>
        <w:rPr>
          <w:color w:val="000000"/>
        </w:rPr>
        <w:t>.3.1</w:t>
      </w:r>
      <w:r>
        <w:rPr>
          <w:rFonts w:hint="eastAsia"/>
          <w:color w:val="000000"/>
        </w:rPr>
        <w:t xml:space="preserve"> </w:t>
      </w:r>
      <w:r>
        <w:rPr>
          <w:color w:val="000000"/>
        </w:rPr>
        <w:t>评标委员会负责人应组织评标委员会成员认真研究招标文件，了解和熟悉招标目的、招标范围、主要合同条件、技术标准和要求、质量标准和工期要求，掌握评标标准和方法，熟悉评标表格的使用。未在招标文件中规定的标准和方法不得作为评标的依据。</w:t>
      </w:r>
    </w:p>
    <w:p>
      <w:pPr>
        <w:spacing w:line="400" w:lineRule="exact"/>
        <w:ind w:firstLine="482"/>
        <w:rPr>
          <w:color w:val="000000"/>
        </w:rPr>
      </w:pPr>
      <w:r>
        <w:rPr>
          <w:color w:val="000000"/>
        </w:rPr>
        <w:t>3.</w:t>
      </w:r>
      <w:r>
        <w:rPr>
          <w:rFonts w:hint="eastAsia"/>
          <w:color w:val="000000"/>
        </w:rPr>
        <w:t>1</w:t>
      </w:r>
      <w:r>
        <w:rPr>
          <w:color w:val="000000"/>
        </w:rPr>
        <w:t>.3.2</w:t>
      </w:r>
      <w:r>
        <w:rPr>
          <w:rFonts w:hint="eastAsia"/>
          <w:color w:val="000000"/>
        </w:rPr>
        <w:t xml:space="preserve"> </w:t>
      </w:r>
      <w:r>
        <w:rPr>
          <w:color w:val="000000"/>
        </w:rPr>
        <w:t>评标委员会成员在评标前应当了解招标工程概况及招标文件内容。招标人或其委托的招标代理机构应当向评标委员会提供评标所需的重要信息和相关数据资料，主要包括：</w:t>
      </w:r>
    </w:p>
    <w:p>
      <w:pPr>
        <w:spacing w:line="400" w:lineRule="exact"/>
        <w:ind w:firstLine="482"/>
        <w:rPr>
          <w:color w:val="000000"/>
        </w:rPr>
      </w:pPr>
      <w:r>
        <w:rPr>
          <w:rFonts w:hint="eastAsia"/>
          <w:color w:val="000000"/>
        </w:rPr>
        <w:t>（一）招标文件；</w:t>
      </w:r>
    </w:p>
    <w:p>
      <w:pPr>
        <w:spacing w:line="400" w:lineRule="exact"/>
        <w:ind w:firstLine="482"/>
        <w:rPr>
          <w:color w:val="000000"/>
        </w:rPr>
      </w:pPr>
      <w:r>
        <w:rPr>
          <w:rFonts w:hint="eastAsia"/>
          <w:color w:val="000000"/>
        </w:rPr>
        <w:t>（二）未在开标会上当场拒绝的投标文件；</w:t>
      </w:r>
    </w:p>
    <w:p>
      <w:pPr>
        <w:spacing w:line="400" w:lineRule="exact"/>
        <w:ind w:firstLine="482"/>
        <w:rPr>
          <w:color w:val="000000"/>
        </w:rPr>
      </w:pPr>
      <w:r>
        <w:rPr>
          <w:rFonts w:hint="eastAsia"/>
          <w:color w:val="000000"/>
        </w:rPr>
        <w:t>（三）开标会记录；</w:t>
      </w:r>
    </w:p>
    <w:p>
      <w:pPr>
        <w:spacing w:line="400" w:lineRule="exact"/>
        <w:ind w:firstLine="482"/>
        <w:rPr>
          <w:color w:val="000000"/>
        </w:rPr>
      </w:pPr>
      <w:r>
        <w:rPr>
          <w:rFonts w:hint="eastAsia"/>
          <w:color w:val="000000"/>
        </w:rPr>
        <w:t>（四）根据本办法及招标文件规定，制定评审工作所需的各种表格。</w:t>
      </w:r>
    </w:p>
    <w:p>
      <w:pPr>
        <w:spacing w:line="400" w:lineRule="exact"/>
        <w:ind w:firstLine="482"/>
        <w:rPr>
          <w:color w:val="000000"/>
        </w:rPr>
      </w:pPr>
      <w:r>
        <w:rPr>
          <w:color w:val="000000"/>
        </w:rPr>
        <w:t>3.</w:t>
      </w:r>
      <w:r>
        <w:rPr>
          <w:rFonts w:hint="eastAsia"/>
          <w:color w:val="000000"/>
        </w:rPr>
        <w:t>1</w:t>
      </w:r>
      <w:r>
        <w:rPr>
          <w:color w:val="000000"/>
        </w:rPr>
        <w:t>.3.3</w:t>
      </w:r>
      <w:r>
        <w:rPr>
          <w:rFonts w:hint="eastAsia"/>
          <w:color w:val="000000"/>
        </w:rPr>
        <w:t xml:space="preserve"> </w:t>
      </w:r>
      <w:r>
        <w:rPr>
          <w:color w:val="000000"/>
        </w:rPr>
        <w:t>评标委员会应在不改变投标文件实质性内容的前提下，根据招标文件评标办法中载明的初步评审、详细评审内容，对投标文件逐项进行算术错误修正、核对、比较、筛选和清查（以下简称清标）。清标工作由评标委员会借助计算机辅助清（评）标系统完成，其内容应包括：</w:t>
      </w:r>
    </w:p>
    <w:p>
      <w:pPr>
        <w:spacing w:line="400" w:lineRule="exact"/>
        <w:ind w:firstLine="482"/>
        <w:rPr>
          <w:color w:val="000000"/>
        </w:rPr>
      </w:pPr>
      <w:r>
        <w:rPr>
          <w:rFonts w:hint="eastAsia"/>
          <w:color w:val="000000"/>
        </w:rPr>
        <w:t>（一）采购清单符合性，包括项目编码、项目名称、项目特征、计量单位、采购数量；</w:t>
      </w:r>
    </w:p>
    <w:p>
      <w:pPr>
        <w:spacing w:line="400" w:lineRule="exact"/>
        <w:ind w:firstLine="482"/>
        <w:rPr>
          <w:color w:val="000000"/>
        </w:rPr>
      </w:pPr>
      <w:r>
        <w:rPr>
          <w:rFonts w:hint="eastAsia"/>
          <w:color w:val="000000"/>
        </w:rPr>
        <w:t>（二）存在漏报价、负报价的项目；</w:t>
      </w:r>
    </w:p>
    <w:p>
      <w:pPr>
        <w:spacing w:line="400" w:lineRule="exact"/>
        <w:ind w:firstLine="482"/>
        <w:rPr>
          <w:color w:val="000000"/>
        </w:rPr>
      </w:pPr>
      <w:r>
        <w:rPr>
          <w:rFonts w:hint="eastAsia"/>
          <w:color w:val="000000"/>
        </w:rPr>
        <w:t>（三）投标报价中存在的算术计算错误。</w:t>
      </w:r>
    </w:p>
    <w:p>
      <w:pPr>
        <w:spacing w:line="400" w:lineRule="exact"/>
        <w:ind w:firstLine="482"/>
        <w:rPr>
          <w:color w:val="000000"/>
        </w:rPr>
      </w:pPr>
      <w:r>
        <w:rPr>
          <w:rFonts w:hint="eastAsia"/>
          <w:color w:val="000000"/>
        </w:rPr>
        <w:t>评标委员会根据清标情况出具相应的清标报告。</w:t>
      </w:r>
    </w:p>
    <w:p>
      <w:pPr>
        <w:pStyle w:val="4"/>
        <w:rPr>
          <w:color w:val="000000"/>
        </w:rPr>
      </w:pPr>
      <w:r>
        <w:rPr>
          <w:rFonts w:hint="eastAsia"/>
          <w:color w:val="000000"/>
        </w:rPr>
        <w:t>3.2 初步评审</w:t>
      </w:r>
    </w:p>
    <w:p>
      <w:pPr>
        <w:spacing w:line="400" w:lineRule="exact"/>
        <w:ind w:firstLine="482"/>
        <w:rPr>
          <w:color w:val="000000"/>
        </w:rPr>
      </w:pPr>
      <w:r>
        <w:rPr>
          <w:rFonts w:hint="eastAsia"/>
          <w:color w:val="000000"/>
        </w:rPr>
        <w:t>3.2.1 评标委员会可以要求投标人提交第二章“投标人须知”第3.5.1项规定的有关证明和证件的原件，以便核验。评标委员会依据本章第2.1款规定的标准对投标文件进行初步评审。有一项不符合评审标准的，其投标被否决。</w:t>
      </w:r>
    </w:p>
    <w:p>
      <w:pPr>
        <w:spacing w:line="400" w:lineRule="exact"/>
        <w:ind w:firstLine="482"/>
        <w:rPr>
          <w:color w:val="000000"/>
        </w:rPr>
      </w:pPr>
      <w:r>
        <w:rPr>
          <w:rFonts w:hint="eastAsia"/>
          <w:color w:val="000000"/>
        </w:rPr>
        <w:t>3.2.2 投标人有以下情形之一的，其投标被否决：</w:t>
      </w:r>
    </w:p>
    <w:p>
      <w:pPr>
        <w:spacing w:line="400" w:lineRule="exact"/>
        <w:ind w:firstLine="482"/>
        <w:rPr>
          <w:color w:val="000000"/>
        </w:rPr>
      </w:pPr>
      <w:r>
        <w:rPr>
          <w:rFonts w:hint="eastAsia"/>
          <w:color w:val="000000"/>
        </w:rPr>
        <w:t>（1）第二章“投标人须知”第1.4.3项、第1.4.4项规定的任何一种情形的；</w:t>
      </w:r>
    </w:p>
    <w:p>
      <w:pPr>
        <w:spacing w:line="400" w:lineRule="exact"/>
        <w:ind w:firstLine="482"/>
        <w:rPr>
          <w:color w:val="000000"/>
        </w:rPr>
      </w:pPr>
      <w:r>
        <w:rPr>
          <w:rFonts w:hint="eastAsia"/>
          <w:color w:val="000000"/>
        </w:rPr>
        <w:t>（2）串通投标或弄虚作假或有其他违法行为的；</w:t>
      </w:r>
    </w:p>
    <w:p>
      <w:pPr>
        <w:spacing w:line="400" w:lineRule="exact"/>
        <w:ind w:firstLine="482"/>
        <w:rPr>
          <w:color w:val="000000"/>
        </w:rPr>
      </w:pPr>
      <w:r>
        <w:rPr>
          <w:rFonts w:hint="eastAsia"/>
          <w:color w:val="000000"/>
        </w:rPr>
        <w:t>1）有下列情形之一的，视为投标人相互串通投标：</w:t>
      </w:r>
    </w:p>
    <w:p>
      <w:pPr>
        <w:spacing w:line="400" w:lineRule="exact"/>
        <w:ind w:firstLine="482"/>
        <w:rPr>
          <w:color w:val="000000"/>
        </w:rPr>
      </w:pPr>
      <w:r>
        <w:rPr>
          <w:rFonts w:hint="eastAsia"/>
          <w:color w:val="000000"/>
        </w:rPr>
        <w:t>① 不同投标人的投标文件由同一单位或者个人编制；</w:t>
      </w:r>
    </w:p>
    <w:p>
      <w:pPr>
        <w:spacing w:line="400" w:lineRule="exact"/>
        <w:ind w:firstLine="482"/>
        <w:rPr>
          <w:color w:val="000000"/>
        </w:rPr>
      </w:pPr>
      <w:r>
        <w:rPr>
          <w:rFonts w:hint="eastAsia"/>
          <w:color w:val="000000"/>
        </w:rPr>
        <w:t>② 不同投标人委托同一单位或者个人办理投标事宜；</w:t>
      </w:r>
    </w:p>
    <w:p>
      <w:pPr>
        <w:spacing w:line="400" w:lineRule="exact"/>
        <w:ind w:firstLine="482"/>
        <w:rPr>
          <w:color w:val="000000"/>
        </w:rPr>
      </w:pPr>
      <w:r>
        <w:rPr>
          <w:rFonts w:hint="eastAsia"/>
          <w:color w:val="000000"/>
        </w:rPr>
        <w:t>③ 不同投标人的投标文件载明的项目管理成员为同一人；</w:t>
      </w:r>
    </w:p>
    <w:p>
      <w:pPr>
        <w:spacing w:line="400" w:lineRule="exact"/>
        <w:ind w:firstLine="482"/>
        <w:rPr>
          <w:color w:val="000000"/>
        </w:rPr>
      </w:pPr>
      <w:r>
        <w:rPr>
          <w:rFonts w:hint="eastAsia"/>
          <w:color w:val="000000"/>
        </w:rPr>
        <w:t>④ 不同投标人的投标文件异常一致或者投标报价呈规律性差异；</w:t>
      </w:r>
    </w:p>
    <w:p>
      <w:pPr>
        <w:spacing w:line="400" w:lineRule="exact"/>
        <w:ind w:firstLine="482"/>
        <w:rPr>
          <w:color w:val="000000"/>
        </w:rPr>
      </w:pPr>
      <w:r>
        <w:rPr>
          <w:rFonts w:hint="eastAsia"/>
          <w:color w:val="000000"/>
        </w:rPr>
        <w:t>⑤ 不同投标人的投标文件相互混装；</w:t>
      </w:r>
    </w:p>
    <w:p>
      <w:pPr>
        <w:spacing w:line="400" w:lineRule="exact"/>
        <w:ind w:firstLine="482"/>
        <w:rPr>
          <w:color w:val="000000"/>
        </w:rPr>
      </w:pPr>
      <w:r>
        <w:rPr>
          <w:rFonts w:hint="eastAsia"/>
          <w:color w:val="000000"/>
        </w:rPr>
        <w:t>⑥ 不同投标人的投标保证金从同一单位或者个人的账户转出。</w:t>
      </w:r>
    </w:p>
    <w:p>
      <w:pPr>
        <w:spacing w:line="400" w:lineRule="exact"/>
        <w:ind w:firstLine="482"/>
        <w:rPr>
          <w:color w:val="000000"/>
        </w:rPr>
      </w:pPr>
      <w:r>
        <w:rPr>
          <w:rFonts w:hint="eastAsia"/>
          <w:color w:val="000000"/>
        </w:rPr>
        <w:t>2）有下列情形之一的，属于弄虚作假行为：</w:t>
      </w:r>
    </w:p>
    <w:p>
      <w:pPr>
        <w:spacing w:line="400" w:lineRule="exact"/>
        <w:ind w:firstLine="482"/>
        <w:rPr>
          <w:color w:val="000000"/>
        </w:rPr>
      </w:pPr>
      <w:r>
        <w:rPr>
          <w:rFonts w:hint="eastAsia"/>
          <w:color w:val="000000"/>
        </w:rPr>
        <w:t>① 使用通过受让或者租借等方式获取的资格、资质证书投标的，即以他人名义投标的。</w:t>
      </w:r>
    </w:p>
    <w:p>
      <w:pPr>
        <w:spacing w:line="400" w:lineRule="exact"/>
        <w:ind w:firstLine="482"/>
        <w:rPr>
          <w:color w:val="000000"/>
        </w:rPr>
      </w:pPr>
      <w:r>
        <w:rPr>
          <w:rFonts w:hint="eastAsia"/>
          <w:color w:val="000000"/>
        </w:rPr>
        <w:t>② 使用伪造、变造的许可证件；</w:t>
      </w:r>
    </w:p>
    <w:p>
      <w:pPr>
        <w:spacing w:line="400" w:lineRule="exact"/>
        <w:ind w:firstLine="482"/>
        <w:rPr>
          <w:color w:val="000000"/>
        </w:rPr>
      </w:pPr>
      <w:r>
        <w:rPr>
          <w:rFonts w:hint="eastAsia"/>
          <w:color w:val="000000"/>
        </w:rPr>
        <w:t>③ 提供虚假的财务状况或者业绩；</w:t>
      </w:r>
    </w:p>
    <w:p>
      <w:pPr>
        <w:spacing w:line="400" w:lineRule="exact"/>
        <w:ind w:firstLine="482"/>
        <w:rPr>
          <w:color w:val="000000"/>
        </w:rPr>
      </w:pPr>
      <w:r>
        <w:rPr>
          <w:rFonts w:hint="eastAsia"/>
          <w:color w:val="000000"/>
        </w:rPr>
        <w:t>④ 提供虚假的项目负责人或者主要技术人员简历、劳动关系证明；</w:t>
      </w:r>
    </w:p>
    <w:p>
      <w:pPr>
        <w:spacing w:line="400" w:lineRule="exact"/>
        <w:ind w:firstLine="482"/>
        <w:rPr>
          <w:color w:val="000000"/>
        </w:rPr>
      </w:pPr>
      <w:r>
        <w:rPr>
          <w:rFonts w:hint="eastAsia"/>
          <w:color w:val="000000"/>
        </w:rPr>
        <w:t>⑤ 提供虚假的信用状况；</w:t>
      </w:r>
    </w:p>
    <w:p>
      <w:pPr>
        <w:spacing w:line="400" w:lineRule="exact"/>
        <w:ind w:firstLine="482"/>
        <w:rPr>
          <w:color w:val="000000"/>
        </w:rPr>
      </w:pPr>
      <w:r>
        <w:rPr>
          <w:rFonts w:hint="eastAsia"/>
          <w:color w:val="000000"/>
        </w:rPr>
        <w:t>⑥ 其他弄虚作假的行为。</w:t>
      </w:r>
    </w:p>
    <w:p>
      <w:pPr>
        <w:spacing w:line="400" w:lineRule="exact"/>
        <w:ind w:firstLine="482"/>
        <w:rPr>
          <w:color w:val="000000"/>
        </w:rPr>
      </w:pPr>
      <w:r>
        <w:rPr>
          <w:color w:val="000000"/>
        </w:rPr>
        <w:t>3.</w:t>
      </w:r>
      <w:r>
        <w:rPr>
          <w:rFonts w:hint="eastAsia"/>
          <w:color w:val="000000"/>
        </w:rPr>
        <w:t>2</w:t>
      </w:r>
      <w:r>
        <w:rPr>
          <w:color w:val="000000"/>
        </w:rPr>
        <w:t>.3投标报价有算术错误的，评标委员会按以下原则对投标报价进行修正，修正的价格经投标人书面确认后具有约束力。投标人不接受修正价格的，或者修正后的价格与投标报价相比偏差率（（修正后的价格-投标报价）÷投标报价×100%）在±1%以上的，或者修正后的投标报价超过招标控制价的（如有），评标委员会应当否决其投标。</w:t>
      </w:r>
    </w:p>
    <w:p>
      <w:pPr>
        <w:spacing w:line="400" w:lineRule="exact"/>
        <w:ind w:firstLine="482"/>
        <w:rPr>
          <w:color w:val="000000"/>
        </w:rPr>
      </w:pPr>
      <w:r>
        <w:rPr>
          <w:rFonts w:hint="eastAsia"/>
          <w:color w:val="000000"/>
        </w:rPr>
        <w:t>（</w:t>
      </w:r>
      <w:r>
        <w:rPr>
          <w:color w:val="000000"/>
        </w:rPr>
        <w:t>1）投标文件中的大写金额与小写金额不一致的，以大写金额为准；</w:t>
      </w:r>
    </w:p>
    <w:p>
      <w:pPr>
        <w:spacing w:line="400" w:lineRule="exact"/>
        <w:ind w:firstLine="482"/>
        <w:rPr>
          <w:color w:val="000000"/>
        </w:rPr>
      </w:pPr>
      <w:r>
        <w:rPr>
          <w:rFonts w:hint="eastAsia"/>
          <w:color w:val="000000"/>
        </w:rPr>
        <w:t>（</w:t>
      </w:r>
      <w:r>
        <w:rPr>
          <w:color w:val="000000"/>
        </w:rPr>
        <w:t>2）总价金额与依据单价计算出的结果不一致的，以单价金额为准修正总价，但单价金额小数点有明显错误的除外。</w:t>
      </w:r>
    </w:p>
    <w:p>
      <w:pPr>
        <w:spacing w:line="400" w:lineRule="exact"/>
        <w:ind w:firstLine="482"/>
        <w:rPr>
          <w:color w:val="000000"/>
        </w:rPr>
      </w:pPr>
      <w:r>
        <w:rPr>
          <w:rFonts w:hint="eastAsia"/>
          <w:color w:val="000000"/>
        </w:rPr>
        <w:t>3.2.4 评标委员会发现投标人的报价明显低于其他投标报价，或者在设有招标控制价时明显低于招标控制价，使得其投标报价可能低于其个别成本的，应当要求该投标人作出书面说明并提供相应的证明材料。投标人不能合理说明或者不能提供相应证明材料的，由评标委员会认定该投标人以低于成本报价竞标，否决其投标。</w:t>
      </w:r>
    </w:p>
    <w:p>
      <w:pPr>
        <w:spacing w:line="400" w:lineRule="exact"/>
        <w:ind w:firstLine="482"/>
        <w:rPr>
          <w:color w:val="000000"/>
        </w:rPr>
      </w:pPr>
      <w:r>
        <w:rPr>
          <w:color w:val="000000"/>
        </w:rPr>
        <w:t>3.</w:t>
      </w:r>
      <w:r>
        <w:rPr>
          <w:rFonts w:hint="eastAsia"/>
          <w:color w:val="000000"/>
        </w:rPr>
        <w:t>2</w:t>
      </w:r>
      <w:r>
        <w:rPr>
          <w:color w:val="000000"/>
        </w:rPr>
        <w:t>.</w:t>
      </w:r>
      <w:r>
        <w:rPr>
          <w:rFonts w:hint="eastAsia"/>
          <w:color w:val="000000"/>
        </w:rPr>
        <w:t>5</w:t>
      </w:r>
      <w:r>
        <w:rPr>
          <w:color w:val="000000"/>
        </w:rPr>
        <w:t xml:space="preserve"> 评标委员会否决不合格投标后，因有效投标不足三个使得投标明显缺乏竞争的，评标委员会可以否决全部投标。</w:t>
      </w:r>
    </w:p>
    <w:p>
      <w:pPr>
        <w:pStyle w:val="4"/>
        <w:rPr>
          <w:color w:val="000000"/>
        </w:rPr>
      </w:pPr>
      <w:r>
        <w:rPr>
          <w:rFonts w:hint="eastAsia"/>
          <w:color w:val="000000"/>
        </w:rPr>
        <w:t>3.3 详细评审</w:t>
      </w:r>
    </w:p>
    <w:p>
      <w:pPr>
        <w:spacing w:line="400" w:lineRule="exact"/>
        <w:ind w:firstLine="482"/>
        <w:rPr>
          <w:color w:val="000000"/>
        </w:rPr>
      </w:pPr>
      <w:r>
        <w:rPr>
          <w:rFonts w:hint="eastAsia"/>
          <w:color w:val="000000"/>
        </w:rPr>
        <w:t>评标委员会对通过了初步评审的投标文件进行详细评审。</w:t>
      </w:r>
    </w:p>
    <w:p>
      <w:pPr>
        <w:spacing w:line="400" w:lineRule="exact"/>
        <w:ind w:firstLine="482"/>
        <w:rPr>
          <w:color w:val="000000"/>
        </w:rPr>
      </w:pPr>
      <w:r>
        <w:rPr>
          <w:rFonts w:hint="eastAsia"/>
          <w:color w:val="000000"/>
        </w:rPr>
        <w:t>3.3.1 商务及技术详细评审</w:t>
      </w:r>
    </w:p>
    <w:p>
      <w:pPr>
        <w:spacing w:line="400" w:lineRule="exact"/>
        <w:ind w:firstLine="482"/>
        <w:rPr>
          <w:color w:val="000000"/>
        </w:rPr>
      </w:pPr>
      <w:bookmarkStart w:id="65" w:name="EBb0e1f49311ce443893cf5ea82b752df1"/>
      <w:r>
        <w:rPr>
          <w:rFonts w:hint="eastAsia"/>
          <w:color w:val="000000"/>
        </w:rPr>
        <w:t>评标委员会依据评标办法前附表第2.2.2（1）款规定的评标因素及评审标准进行详细评审：评审方法如下：</w:t>
      </w:r>
    </w:p>
    <w:p>
      <w:pPr>
        <w:spacing w:line="400" w:lineRule="exact"/>
        <w:ind w:firstLine="482"/>
        <w:rPr>
          <w:color w:val="000000"/>
        </w:rPr>
      </w:pPr>
      <w:r>
        <w:rPr>
          <w:rFonts w:hint="eastAsia"/>
          <w:color w:val="000000"/>
        </w:rPr>
        <w:t>量化评分：评标委员会应依据招标文件的要求、采购，对投标人提供的方案独立进行评分，各投标人的最终得分为评委所评定分数的算术平均值。</w:t>
      </w:r>
    </w:p>
    <w:bookmarkEnd w:id="65"/>
    <w:p>
      <w:pPr>
        <w:spacing w:line="400" w:lineRule="exact"/>
        <w:ind w:firstLine="482"/>
        <w:rPr>
          <w:color w:val="000000"/>
        </w:rPr>
      </w:pPr>
      <w:r>
        <w:rPr>
          <w:rFonts w:hint="eastAsia"/>
          <w:color w:val="000000"/>
        </w:rPr>
        <w:t>3.3.2 投标报价详细评审</w:t>
      </w:r>
    </w:p>
    <w:p>
      <w:pPr>
        <w:spacing w:line="400" w:lineRule="exact"/>
        <w:ind w:firstLine="482"/>
        <w:rPr>
          <w:color w:val="000000"/>
        </w:rPr>
      </w:pPr>
      <w:bookmarkStart w:id="66" w:name="EBf0b599b889ca41bda3ffc207dcc57d36"/>
      <w:r>
        <w:rPr>
          <w:rFonts w:hint="eastAsia"/>
          <w:color w:val="000000"/>
        </w:rPr>
        <w:t>评标委员会只对资格和符合性审查合格的投标文件进行价格评议，报价分采用综合评分法计算。报价分值计算详见本章第二节评标标准中“价格评议”的具体计算方式。</w:t>
      </w:r>
      <w:bookmarkEnd w:id="66"/>
    </w:p>
    <w:p>
      <w:pPr>
        <w:spacing w:line="400" w:lineRule="exact"/>
        <w:ind w:firstLine="482"/>
        <w:rPr>
          <w:color w:val="000000"/>
        </w:rPr>
      </w:pPr>
      <w:r>
        <w:rPr>
          <w:rFonts w:hint="eastAsia"/>
          <w:color w:val="000000"/>
        </w:rPr>
        <w:t>3.3.3 汇总评分结果</w:t>
      </w:r>
    </w:p>
    <w:p>
      <w:pPr>
        <w:spacing w:line="400" w:lineRule="exact"/>
        <w:ind w:firstLine="482"/>
        <w:rPr>
          <w:color w:val="000000"/>
        </w:rPr>
      </w:pPr>
      <w:r>
        <w:rPr>
          <w:rFonts w:hint="eastAsia"/>
          <w:color w:val="000000"/>
        </w:rPr>
        <w:t>3.3.3.1 评标委员会按本章第2.2款规定的量化因素和分值进行打分，并计算出综合评估得分。</w:t>
      </w:r>
    </w:p>
    <w:p>
      <w:pPr>
        <w:spacing w:line="400" w:lineRule="exact"/>
        <w:ind w:firstLine="482"/>
        <w:rPr>
          <w:color w:val="000000"/>
        </w:rPr>
      </w:pPr>
      <w:r>
        <w:rPr>
          <w:rFonts w:hint="eastAsia"/>
          <w:color w:val="000000"/>
        </w:rPr>
        <w:t>（1）按本章第2.2.4（1）目规定的评审因素和分值对商务文件计算出得分A；</w:t>
      </w:r>
    </w:p>
    <w:p>
      <w:pPr>
        <w:spacing w:line="400" w:lineRule="exact"/>
        <w:ind w:firstLine="482"/>
        <w:rPr>
          <w:color w:val="000000"/>
        </w:rPr>
      </w:pPr>
      <w:r>
        <w:rPr>
          <w:rFonts w:hint="eastAsia"/>
          <w:color w:val="000000"/>
        </w:rPr>
        <w:t>（2）按本章第2.2.4（2）目规定的评审因素和分值对技术文件计算出得分B；</w:t>
      </w:r>
    </w:p>
    <w:p>
      <w:pPr>
        <w:spacing w:line="400" w:lineRule="exact"/>
        <w:ind w:firstLine="482"/>
        <w:rPr>
          <w:color w:val="000000"/>
        </w:rPr>
      </w:pPr>
      <w:r>
        <w:rPr>
          <w:rFonts w:hint="eastAsia"/>
          <w:color w:val="000000"/>
        </w:rPr>
        <w:t>（3）按本章第2.2.4（3）目规定的评审因素和分值对投标报价计算出得分C。</w:t>
      </w:r>
    </w:p>
    <w:p>
      <w:pPr>
        <w:spacing w:line="400" w:lineRule="exact"/>
        <w:ind w:firstLine="482"/>
        <w:rPr>
          <w:color w:val="000000"/>
        </w:rPr>
      </w:pPr>
      <w:r>
        <w:rPr>
          <w:rFonts w:hint="eastAsia"/>
          <w:color w:val="000000"/>
        </w:rPr>
        <w:t>3.2.3.2 评分分值计算保留小数点后两位，小数点后第三位“四舍五入”。</w:t>
      </w:r>
    </w:p>
    <w:p>
      <w:pPr>
        <w:pStyle w:val="6"/>
        <w:spacing w:line="300" w:lineRule="auto"/>
        <w:rPr>
          <w:rFonts w:ascii="宋体" w:hAnsi="宋体"/>
          <w:bCs/>
          <w:sz w:val="24"/>
          <w:szCs w:val="24"/>
        </w:rPr>
      </w:pPr>
      <w:r>
        <w:rPr>
          <w:rFonts w:hint="eastAsia"/>
          <w:color w:val="000000"/>
        </w:rPr>
        <w:t>3.3.3.3 评标委员会成员</w:t>
      </w:r>
      <w:r>
        <w:rPr>
          <w:color w:val="000000"/>
        </w:rPr>
        <w:t>对各投标人的综合评分为其各分项得分之和</w:t>
      </w:r>
      <w:r>
        <w:rPr>
          <w:rFonts w:hint="eastAsia"/>
          <w:color w:val="000000"/>
        </w:rPr>
        <w:t>，即投标人</w:t>
      </w:r>
      <w:r>
        <w:rPr>
          <w:color w:val="000000"/>
        </w:rPr>
        <w:t>最终</w:t>
      </w:r>
      <w:r>
        <w:rPr>
          <w:rFonts w:hint="eastAsia"/>
          <w:color w:val="000000"/>
        </w:rPr>
        <w:t>得分=A+B+C。</w:t>
      </w:r>
    </w:p>
    <w:p>
      <w:pPr>
        <w:spacing w:line="400" w:lineRule="exact"/>
        <w:ind w:firstLine="482"/>
        <w:rPr>
          <w:color w:val="000000"/>
        </w:rPr>
      </w:pPr>
    </w:p>
    <w:p>
      <w:pPr>
        <w:pStyle w:val="4"/>
        <w:rPr>
          <w:color w:val="000000"/>
        </w:rPr>
      </w:pPr>
      <w:r>
        <w:rPr>
          <w:rFonts w:hint="eastAsia"/>
          <w:color w:val="000000"/>
        </w:rPr>
        <w:t>3.4 投标文件的澄清和补正</w:t>
      </w:r>
    </w:p>
    <w:p>
      <w:pPr>
        <w:spacing w:line="400" w:lineRule="exact"/>
        <w:ind w:firstLine="482"/>
        <w:rPr>
          <w:color w:val="000000"/>
        </w:rPr>
      </w:pPr>
      <w:r>
        <w:rPr>
          <w:rFonts w:hint="eastAsia"/>
          <w:color w:val="000000"/>
        </w:rPr>
        <w:t>3.4.1 在评标过程中，评标委员会可以书面形式要求投标人对所提交投标文件中不明确的内容进行书面澄清或说明，或者对细微偏差进行补正。评标委员会不接受投标人主动提出的澄清、说明或补正。</w:t>
      </w:r>
    </w:p>
    <w:p>
      <w:pPr>
        <w:spacing w:line="400" w:lineRule="exact"/>
        <w:ind w:firstLine="482"/>
        <w:rPr>
          <w:color w:val="000000"/>
        </w:rPr>
      </w:pPr>
      <w:r>
        <w:rPr>
          <w:rFonts w:hint="eastAsia"/>
          <w:color w:val="000000"/>
        </w:rPr>
        <w:t>3.4.2 澄清、说明和补正不得改变投标文件的实质性内容（算术性错误修正的除外）。投标人的书面澄清、说明和补正属于投标文件的组成部分。</w:t>
      </w:r>
    </w:p>
    <w:p>
      <w:pPr>
        <w:spacing w:line="400" w:lineRule="exact"/>
        <w:ind w:firstLine="482"/>
        <w:rPr>
          <w:color w:val="000000"/>
        </w:rPr>
      </w:pPr>
      <w:r>
        <w:rPr>
          <w:rFonts w:hint="eastAsia"/>
          <w:color w:val="000000"/>
        </w:rPr>
        <w:t>3.4.3 评标委员会对投标人提交的澄清、说明或补正有疑问的，可以要求投标人进一步澄清、说明或补正，直至满足评标委员会的要求。</w:t>
      </w:r>
    </w:p>
    <w:p>
      <w:pPr>
        <w:spacing w:line="400" w:lineRule="exact"/>
        <w:ind w:firstLine="482"/>
        <w:rPr>
          <w:color w:val="000000"/>
        </w:rPr>
      </w:pPr>
      <w:r>
        <w:rPr>
          <w:rFonts w:hint="eastAsia"/>
          <w:color w:val="000000"/>
        </w:rPr>
        <w:t xml:space="preserve">3.4.4 </w:t>
      </w:r>
      <w:r>
        <w:rPr>
          <w:color w:val="000000"/>
        </w:rPr>
        <w:t>投标人拒不按照要求对投标文件进行澄清、说明或者补正的，评标委员会可以在详细评审时按招标文件规定作出不利于投标人的评审或将其投标文件作废标处理。</w:t>
      </w:r>
    </w:p>
    <w:p>
      <w:pPr>
        <w:pStyle w:val="4"/>
        <w:rPr>
          <w:color w:val="000000"/>
        </w:rPr>
      </w:pPr>
      <w:r>
        <w:rPr>
          <w:rFonts w:hint="eastAsia"/>
          <w:color w:val="000000"/>
        </w:rPr>
        <w:t>3.5 评标结果</w:t>
      </w:r>
    </w:p>
    <w:p>
      <w:pPr>
        <w:pStyle w:val="6"/>
        <w:spacing w:line="300" w:lineRule="auto"/>
        <w:rPr>
          <w:color w:val="000000"/>
        </w:rPr>
      </w:pPr>
      <w:r>
        <w:rPr>
          <w:rFonts w:hint="eastAsia"/>
          <w:color w:val="000000"/>
        </w:rPr>
        <w:t>3.5.1 评标委员会按照招标文件确定的评标方法、步骤、标准，对投标文件进行评审。按评审后得分由高到底顺序排列。若出现相同综合得分的情况，则其中技术部分得分高的投标人将被排序在前；若综合得分和技术部分得分仍相同，则投标报价低的投标人将被排序在前。最后，评标小组将按照各合格投标人综合得分从高到低的次序依次推荐中标候选人。</w:t>
      </w:r>
    </w:p>
    <w:p>
      <w:pPr>
        <w:spacing w:line="400" w:lineRule="exact"/>
        <w:ind w:firstLine="482"/>
        <w:rPr>
          <w:color w:val="000000"/>
        </w:rPr>
      </w:pPr>
      <w:r>
        <w:rPr>
          <w:rFonts w:hint="eastAsia"/>
          <w:color w:val="000000"/>
        </w:rPr>
        <w:t>3.5.2评标委员会完成评标后，应当向招标人提交书面评标报告。</w:t>
      </w:r>
      <w:bookmarkStart w:id="67" w:name="_Toc522293524"/>
      <w:r>
        <w:rPr>
          <w:rFonts w:hint="eastAsia"/>
          <w:color w:val="000000"/>
        </w:rPr>
        <w:br w:type="textWrapping"/>
      </w:r>
      <w:r>
        <w:rPr>
          <w:rFonts w:hint="eastAsia"/>
          <w:color w:val="000000"/>
        </w:rPr>
        <w:br w:type="textWrapping"/>
      </w:r>
    </w:p>
    <w:p>
      <w:pPr>
        <w:pStyle w:val="3"/>
        <w:rPr>
          <w:color w:val="000000"/>
        </w:rPr>
      </w:pPr>
      <w:bookmarkStart w:id="68" w:name="_Toc18672576"/>
      <w:r>
        <w:rPr>
          <w:rFonts w:hint="eastAsia"/>
          <w:color w:val="000000"/>
        </w:rPr>
        <w:t>4. 特殊情况的处置程序</w:t>
      </w:r>
      <w:bookmarkEnd w:id="67"/>
      <w:bookmarkEnd w:id="68"/>
    </w:p>
    <w:p>
      <w:pPr>
        <w:pStyle w:val="4"/>
        <w:rPr>
          <w:color w:val="000000"/>
        </w:rPr>
      </w:pPr>
      <w:r>
        <w:rPr>
          <w:rFonts w:hint="eastAsia"/>
          <w:color w:val="000000"/>
        </w:rPr>
        <w:t>4.1 关于评标活动暂停</w:t>
      </w:r>
    </w:p>
    <w:p>
      <w:pPr>
        <w:spacing w:line="400" w:lineRule="exact"/>
        <w:ind w:firstLine="482"/>
        <w:rPr>
          <w:color w:val="000000"/>
        </w:rPr>
      </w:pPr>
      <w:r>
        <w:rPr>
          <w:rFonts w:hint="eastAsia"/>
          <w:color w:val="000000"/>
        </w:rPr>
        <w:t>4.1.1 评标委员会应当执行连续评标的原则，按评标办法中规定的程序、内容、方法、标准完成全部评标工作。只有发生不可抗力导致评标工作无法继续时，评标活动方可暂停。</w:t>
      </w:r>
    </w:p>
    <w:p>
      <w:pPr>
        <w:spacing w:line="400" w:lineRule="exact"/>
        <w:ind w:firstLine="482"/>
        <w:rPr>
          <w:color w:val="000000"/>
        </w:rPr>
      </w:pPr>
      <w:r>
        <w:rPr>
          <w:rFonts w:hint="eastAsia"/>
          <w:color w:val="000000"/>
        </w:rPr>
        <w:t>4.1.2 发生评标暂停情况时，评标委员会应当封存全部投标文件和评标记录，待不可抗力的影响结束且具备继续评标的条件时，由原评标委员会继续评标。</w:t>
      </w:r>
    </w:p>
    <w:p>
      <w:pPr>
        <w:pStyle w:val="4"/>
        <w:rPr>
          <w:color w:val="000000"/>
        </w:rPr>
      </w:pPr>
      <w:r>
        <w:rPr>
          <w:rFonts w:hint="eastAsia"/>
          <w:color w:val="000000"/>
        </w:rPr>
        <w:t>4.2 关于评标中途更换评标委员会成员</w:t>
      </w:r>
    </w:p>
    <w:p>
      <w:pPr>
        <w:spacing w:line="400" w:lineRule="exact"/>
        <w:ind w:firstLine="482"/>
        <w:rPr>
          <w:color w:val="000000"/>
        </w:rPr>
      </w:pPr>
      <w:r>
        <w:rPr>
          <w:rFonts w:hint="eastAsia"/>
          <w:color w:val="000000"/>
        </w:rPr>
        <w:t>4.2.1 除非发生下列情况之一，评标委员会成员不得在评标中途更换：</w:t>
      </w:r>
    </w:p>
    <w:p>
      <w:pPr>
        <w:spacing w:line="400" w:lineRule="exact"/>
        <w:ind w:firstLine="482"/>
        <w:rPr>
          <w:color w:val="000000"/>
        </w:rPr>
      </w:pPr>
      <w:r>
        <w:rPr>
          <w:rFonts w:hint="eastAsia"/>
          <w:color w:val="000000"/>
        </w:rPr>
        <w:t>(1) 因不可抗拒的客观原因，不能到场或需在评标中途退出评标活动。</w:t>
      </w:r>
    </w:p>
    <w:p>
      <w:pPr>
        <w:spacing w:line="400" w:lineRule="exact"/>
        <w:ind w:firstLine="482"/>
        <w:rPr>
          <w:color w:val="000000"/>
        </w:rPr>
      </w:pPr>
      <w:r>
        <w:rPr>
          <w:rFonts w:hint="eastAsia"/>
          <w:color w:val="000000"/>
        </w:rPr>
        <w:t>(2) 根据法律法规规定，某个或某几个评标委员会成员需要回避。</w:t>
      </w:r>
    </w:p>
    <w:p>
      <w:pPr>
        <w:spacing w:line="400" w:lineRule="exact"/>
        <w:ind w:firstLine="482"/>
        <w:rPr>
          <w:color w:val="000000"/>
        </w:rPr>
      </w:pPr>
      <w:r>
        <w:rPr>
          <w:rFonts w:hint="eastAsia"/>
          <w:color w:val="000000"/>
        </w:rPr>
        <w:t>4.2.2 退出评标的评标委员会成员，其已完成的评标行为无效。由招标人根据本招标文件规定的评标委员会成员生产方式另行确定替代者进行评标。</w:t>
      </w:r>
    </w:p>
    <w:p>
      <w:pPr>
        <w:pStyle w:val="4"/>
        <w:tabs>
          <w:tab w:val="left" w:pos="6634"/>
        </w:tabs>
        <w:rPr>
          <w:color w:val="000000"/>
        </w:rPr>
      </w:pPr>
      <w:r>
        <w:rPr>
          <w:rFonts w:hint="eastAsia"/>
          <w:color w:val="000000"/>
        </w:rPr>
        <w:t>4.3 评标争议处理</w:t>
      </w:r>
      <w:r>
        <w:rPr>
          <w:color w:val="000000"/>
        </w:rPr>
        <w:tab/>
      </w:r>
    </w:p>
    <w:p>
      <w:pPr>
        <w:spacing w:line="400" w:lineRule="exact"/>
        <w:ind w:firstLine="482"/>
        <w:rPr>
          <w:color w:val="000000"/>
        </w:rPr>
      </w:pPr>
      <w:r>
        <w:rPr>
          <w:rFonts w:hint="eastAsia"/>
          <w:color w:val="000000"/>
        </w:rPr>
        <w:t>4.3.1 评标委员会全体成员应独立评审，对所提出的评审意见承担个人责任。</w:t>
      </w:r>
    </w:p>
    <w:p>
      <w:pPr>
        <w:spacing w:line="400" w:lineRule="exact"/>
        <w:ind w:firstLine="482"/>
        <w:rPr>
          <w:color w:val="000000"/>
        </w:rPr>
      </w:pPr>
      <w:r>
        <w:rPr>
          <w:rFonts w:hint="eastAsia"/>
          <w:color w:val="000000"/>
        </w:rPr>
        <w:t>4.3.2 在任何评标环节中，需评标委员会就某项定性的评审结论做出表决的，由评标委员会全体成员按照少数服从多数的原则，以记名投票方式表决。表决不得违背法律、法规、规章和招标文件的规定。</w:t>
      </w:r>
    </w:p>
    <w:p>
      <w:pPr>
        <w:spacing w:line="400" w:lineRule="exact"/>
        <w:ind w:firstLine="482"/>
        <w:rPr>
          <w:color w:val="000000"/>
        </w:rPr>
      </w:pPr>
      <w:r>
        <w:rPr>
          <w:rFonts w:hint="eastAsia"/>
          <w:color w:val="000000"/>
        </w:rPr>
        <w:t>4.3.3 评标委员会成员对集体决议或评审结论持有异议的，可以书面阐述其不同意见和理由。拒绝在集体决议或评标报告上签名，且不陈述其不同意见和理由的，视为同意集体决议或评标结论，评标委员会应当对此在评标报告中做出说明。</w:t>
      </w:r>
    </w:p>
    <w:p>
      <w:pPr>
        <w:pStyle w:val="3"/>
        <w:rPr>
          <w:color w:val="000000"/>
        </w:rPr>
      </w:pPr>
      <w:bookmarkStart w:id="69" w:name="_Toc522293525"/>
      <w:bookmarkStart w:id="70" w:name="_Toc18672577"/>
      <w:r>
        <w:rPr>
          <w:rFonts w:hint="eastAsia"/>
          <w:b w:val="0"/>
          <w:bCs w:val="0"/>
          <w:color w:val="000000"/>
        </w:rPr>
        <w:t xml:space="preserve">5. </w:t>
      </w:r>
      <w:r>
        <w:rPr>
          <w:rFonts w:hint="eastAsia"/>
          <w:color w:val="000000"/>
        </w:rPr>
        <w:t>补充条款</w:t>
      </w:r>
      <w:bookmarkEnd w:id="69"/>
      <w:bookmarkEnd w:id="70"/>
    </w:p>
    <w:p>
      <w:pPr>
        <w:adjustRightInd w:val="0"/>
        <w:snapToGrid w:val="0"/>
        <w:spacing w:line="440" w:lineRule="exact"/>
        <w:rPr>
          <w:color w:val="000000"/>
          <w:szCs w:val="21"/>
        </w:rPr>
      </w:pPr>
      <w:bookmarkStart w:id="71" w:name="EBc7bd10bc363a411c8a388fc52443158e"/>
      <w:bookmarkEnd w:id="71"/>
      <w:r>
        <w:rPr>
          <w:rFonts w:hint="eastAsia"/>
          <w:color w:val="000000"/>
          <w:szCs w:val="21"/>
        </w:rPr>
        <w:t>/</w:t>
      </w:r>
    </w:p>
    <w:p>
      <w:pPr>
        <w:pStyle w:val="2"/>
        <w:pageBreakBefore/>
        <w:rPr>
          <w:color w:val="000000"/>
        </w:rPr>
      </w:pPr>
      <w:bookmarkStart w:id="72" w:name="_Toc522293526"/>
      <w:bookmarkStart w:id="73" w:name="_Toc18672578"/>
      <w:r>
        <w:rPr>
          <w:rFonts w:hint="eastAsia"/>
          <w:color w:val="000000"/>
        </w:rPr>
        <w:t>第四章  合同条款及格式</w:t>
      </w:r>
      <w:bookmarkEnd w:id="72"/>
      <w:bookmarkEnd w:id="73"/>
    </w:p>
    <w:p>
      <w:pPr>
        <w:ind w:firstLine="404"/>
        <w:rPr>
          <w:rFonts w:ascii="宋体" w:hAnsi="宋体"/>
        </w:rPr>
      </w:pPr>
      <w:bookmarkStart w:id="74" w:name="EB5d31b1b903224a259ba38e2ce1ffbf76"/>
      <w:bookmarkStart w:id="75" w:name="_Toc522293530"/>
    </w:p>
    <w:bookmarkEnd w:id="74"/>
    <w:p>
      <w:pPr>
        <w:pStyle w:val="20"/>
        <w:spacing w:line="300" w:lineRule="auto"/>
        <w:jc w:val="center"/>
        <w:rPr>
          <w:rFonts w:ascii="宋体" w:hAnsi="宋体"/>
          <w:b/>
          <w:kern w:val="0"/>
          <w:szCs w:val="21"/>
        </w:rPr>
      </w:pPr>
      <w:r>
        <w:rPr>
          <w:rFonts w:hint="eastAsia" w:ascii="宋体" w:hAnsi="宋体"/>
          <w:b/>
          <w:spacing w:val="120"/>
          <w:kern w:val="0"/>
          <w:szCs w:val="21"/>
        </w:rPr>
        <w:t>合同格</w:t>
      </w:r>
      <w:r>
        <w:rPr>
          <w:rFonts w:hint="eastAsia" w:ascii="宋体" w:hAnsi="宋体"/>
          <w:b/>
          <w:kern w:val="0"/>
          <w:szCs w:val="21"/>
        </w:rPr>
        <w:t>式</w:t>
      </w:r>
    </w:p>
    <w:p>
      <w:pPr>
        <w:pStyle w:val="21"/>
        <w:spacing w:line="300" w:lineRule="auto"/>
        <w:jc w:val="left"/>
        <w:rPr>
          <w:rFonts w:ascii="宋体" w:hAnsi="宋体"/>
          <w:bCs/>
          <w:sz w:val="21"/>
          <w:szCs w:val="21"/>
        </w:rPr>
      </w:pPr>
      <w:r>
        <w:rPr>
          <w:rFonts w:hint="eastAsia" w:ascii="宋体" w:hAnsi="宋体"/>
          <w:bCs/>
          <w:sz w:val="21"/>
          <w:szCs w:val="21"/>
        </w:rPr>
        <w:t>（根据《合同法》。采购人和供应商之间的权利和义务，应当按照平等的原则以合同方式约定。此合同书仅作为签订正式合同时的参考，正式合同书应包括本参考格式之内容。）</w:t>
      </w:r>
    </w:p>
    <w:p>
      <w:pPr>
        <w:pStyle w:val="21"/>
        <w:spacing w:line="300" w:lineRule="auto"/>
        <w:jc w:val="left"/>
        <w:rPr>
          <w:rFonts w:ascii="宋体" w:hAnsi="宋体"/>
          <w:bCs/>
          <w:sz w:val="21"/>
          <w:szCs w:val="21"/>
        </w:rPr>
      </w:pPr>
    </w:p>
    <w:p>
      <w:pPr>
        <w:adjustRightInd w:val="0"/>
        <w:snapToGrid w:val="0"/>
        <w:spacing w:line="300" w:lineRule="auto"/>
        <w:ind w:firstLine="210" w:firstLineChars="100"/>
        <w:rPr>
          <w:rFonts w:ascii="宋体" w:hAnsi="宋体"/>
          <w:bCs/>
          <w:szCs w:val="21"/>
        </w:rPr>
      </w:pPr>
      <w:r>
        <w:rPr>
          <w:rFonts w:hint="eastAsia" w:ascii="宋体" w:hAnsi="宋体"/>
          <w:bCs/>
          <w:szCs w:val="21"/>
        </w:rPr>
        <w:t>（买方）甲方：宜昌白洋港集装箱有限公司        签订日期：   年  月  日</w:t>
      </w:r>
    </w:p>
    <w:p>
      <w:pPr>
        <w:adjustRightInd w:val="0"/>
        <w:snapToGrid w:val="0"/>
        <w:spacing w:line="300" w:lineRule="auto"/>
        <w:ind w:firstLine="210" w:firstLineChars="100"/>
        <w:rPr>
          <w:rFonts w:ascii="宋体" w:hAnsi="宋体"/>
          <w:bCs/>
          <w:szCs w:val="21"/>
        </w:rPr>
      </w:pPr>
      <w:r>
        <w:rPr>
          <w:rFonts w:hint="eastAsia" w:ascii="宋体" w:hAnsi="宋体"/>
          <w:bCs/>
          <w:szCs w:val="21"/>
        </w:rPr>
        <w:t xml:space="preserve">（卖方）乙方：                              </w:t>
      </w:r>
    </w:p>
    <w:p>
      <w:pPr>
        <w:adjustRightInd w:val="0"/>
        <w:snapToGrid w:val="0"/>
        <w:spacing w:line="300" w:lineRule="auto"/>
        <w:ind w:firstLine="420" w:firstLineChars="200"/>
        <w:rPr>
          <w:rFonts w:ascii="宋体" w:hAnsi="宋体"/>
          <w:bCs/>
          <w:szCs w:val="21"/>
        </w:rPr>
      </w:pPr>
      <w:r>
        <w:rPr>
          <w:rFonts w:hint="eastAsia" w:ascii="宋体" w:hAnsi="宋体"/>
          <w:bCs/>
          <w:szCs w:val="21"/>
        </w:rPr>
        <w:t xml:space="preserve">签订地点： </w:t>
      </w:r>
    </w:p>
    <w:p>
      <w:pPr>
        <w:adjustRightInd w:val="0"/>
        <w:snapToGrid w:val="0"/>
        <w:spacing w:line="300" w:lineRule="auto"/>
        <w:ind w:firstLine="420" w:firstLineChars="200"/>
        <w:rPr>
          <w:rFonts w:ascii="宋体" w:hAnsi="宋体"/>
          <w:bCs/>
          <w:szCs w:val="21"/>
        </w:rPr>
      </w:pPr>
      <w:r>
        <w:rPr>
          <w:rFonts w:hint="eastAsia" w:ascii="宋体" w:hAnsi="宋体"/>
          <w:bCs/>
          <w:szCs w:val="21"/>
        </w:rPr>
        <w:t>宜昌白洋港区东西大门智能闸口改造项目采购招标结果，现甲乙双方就货物买卖相关事宜协商一致，订立本协议约定如下：</w:t>
      </w:r>
    </w:p>
    <w:p>
      <w:pPr>
        <w:tabs>
          <w:tab w:val="left" w:pos="480"/>
        </w:tabs>
        <w:spacing w:line="300" w:lineRule="auto"/>
        <w:ind w:left="280" w:firstLine="210" w:firstLineChars="100"/>
        <w:jc w:val="left"/>
        <w:rPr>
          <w:rFonts w:ascii="宋体" w:hAnsi="宋体"/>
          <w:bCs/>
          <w:szCs w:val="21"/>
        </w:rPr>
      </w:pPr>
      <w:r>
        <w:rPr>
          <w:rFonts w:hint="eastAsia" w:ascii="宋体" w:hAnsi="宋体"/>
          <w:bCs/>
          <w:szCs w:val="21"/>
        </w:rPr>
        <w:t>一</w:t>
      </w:r>
      <w:r>
        <w:rPr>
          <w:rFonts w:ascii="宋体" w:hAnsi="宋体"/>
          <w:bCs/>
          <w:szCs w:val="21"/>
        </w:rPr>
        <w:t>、</w:t>
      </w:r>
      <w:r>
        <w:rPr>
          <w:rFonts w:hint="eastAsia" w:ascii="宋体" w:hAnsi="宋体"/>
          <w:bCs/>
          <w:szCs w:val="21"/>
        </w:rPr>
        <w:t>订货清单：详见清单附件。</w:t>
      </w:r>
    </w:p>
    <w:p>
      <w:pPr>
        <w:tabs>
          <w:tab w:val="left" w:pos="480"/>
        </w:tabs>
        <w:spacing w:line="300" w:lineRule="auto"/>
        <w:ind w:left="480"/>
        <w:rPr>
          <w:rFonts w:ascii="宋体" w:hAnsi="宋体"/>
          <w:bCs/>
          <w:szCs w:val="21"/>
        </w:rPr>
      </w:pPr>
      <w:r>
        <w:rPr>
          <w:rFonts w:hint="eastAsia" w:ascii="宋体" w:hAnsi="宋体"/>
          <w:bCs/>
          <w:szCs w:val="21"/>
        </w:rPr>
        <w:t>二</w:t>
      </w:r>
      <w:r>
        <w:rPr>
          <w:rFonts w:ascii="宋体" w:hAnsi="宋体"/>
          <w:bCs/>
          <w:szCs w:val="21"/>
        </w:rPr>
        <w:t>、</w:t>
      </w:r>
      <w:r>
        <w:rPr>
          <w:rFonts w:hint="eastAsia" w:ascii="宋体" w:hAnsi="宋体"/>
          <w:bCs/>
          <w:szCs w:val="21"/>
        </w:rPr>
        <w:t xml:space="preserve">合同金额：大写人民币 </w:t>
      </w:r>
      <w:r>
        <w:rPr>
          <w:rFonts w:hint="eastAsia" w:ascii="宋体" w:hAnsi="宋体"/>
          <w:bCs/>
          <w:szCs w:val="21"/>
          <w:u w:val="single"/>
        </w:rPr>
        <w:t xml:space="preserve">                   </w:t>
      </w:r>
      <w:r>
        <w:rPr>
          <w:rFonts w:hint="eastAsia" w:ascii="宋体" w:hAnsi="宋体"/>
          <w:bCs/>
          <w:szCs w:val="21"/>
        </w:rPr>
        <w:t xml:space="preserve"> 元整（￥</w:t>
      </w:r>
      <w:r>
        <w:rPr>
          <w:rFonts w:hint="eastAsia" w:ascii="宋体" w:hAnsi="宋体"/>
          <w:bCs/>
          <w:szCs w:val="21"/>
          <w:u w:val="single"/>
        </w:rPr>
        <w:t xml:space="preserve">：      </w:t>
      </w:r>
      <w:r>
        <w:rPr>
          <w:rFonts w:hint="eastAsia" w:ascii="宋体" w:hAnsi="宋体"/>
          <w:bCs/>
          <w:szCs w:val="21"/>
        </w:rPr>
        <w:t>元）。</w:t>
      </w:r>
    </w:p>
    <w:p>
      <w:pPr>
        <w:tabs>
          <w:tab w:val="left" w:pos="480"/>
        </w:tabs>
        <w:spacing w:line="300" w:lineRule="auto"/>
        <w:ind w:left="480"/>
        <w:rPr>
          <w:rFonts w:ascii="宋体" w:hAnsi="宋体"/>
          <w:bCs/>
          <w:szCs w:val="21"/>
        </w:rPr>
      </w:pPr>
      <w:r>
        <w:rPr>
          <w:rFonts w:hint="eastAsia" w:ascii="宋体" w:hAnsi="宋体"/>
          <w:bCs/>
          <w:szCs w:val="21"/>
        </w:rPr>
        <w:t>三</w:t>
      </w:r>
      <w:r>
        <w:rPr>
          <w:rFonts w:ascii="宋体" w:hAnsi="宋体"/>
          <w:bCs/>
          <w:szCs w:val="21"/>
        </w:rPr>
        <w:t>、</w:t>
      </w:r>
      <w:r>
        <w:rPr>
          <w:rFonts w:hint="eastAsia" w:ascii="宋体" w:hAnsi="宋体"/>
          <w:bCs/>
          <w:szCs w:val="21"/>
        </w:rPr>
        <w:t>技术要求及质量保证：</w:t>
      </w:r>
    </w:p>
    <w:p>
      <w:pPr>
        <w:spacing w:line="300" w:lineRule="auto"/>
        <w:ind w:firstLine="420" w:firstLineChars="200"/>
        <w:rPr>
          <w:rFonts w:ascii="宋体" w:hAnsi="宋体"/>
          <w:bCs/>
          <w:szCs w:val="21"/>
        </w:rPr>
      </w:pPr>
      <w:r>
        <w:rPr>
          <w:rFonts w:hint="eastAsia" w:ascii="宋体" w:hAnsi="宋体"/>
          <w:bCs/>
          <w:szCs w:val="21"/>
        </w:rPr>
        <w:t>1、交付货物必须符合本项目招标文件和合同规定的型号、规格、性能指标等技术要求，达到招标书的标准要求，货物使用说明书等随机技术资料齐全。</w:t>
      </w:r>
    </w:p>
    <w:p>
      <w:pPr>
        <w:spacing w:line="300" w:lineRule="auto"/>
        <w:ind w:firstLine="420" w:firstLineChars="200"/>
        <w:rPr>
          <w:rFonts w:ascii="宋体" w:hAnsi="宋体"/>
          <w:bCs/>
          <w:szCs w:val="21"/>
        </w:rPr>
      </w:pPr>
      <w:r>
        <w:rPr>
          <w:rFonts w:hint="eastAsia" w:ascii="宋体" w:hAnsi="宋体"/>
          <w:bCs/>
          <w:szCs w:val="21"/>
        </w:rPr>
        <w:t>2、货物的装运、保险、安装及调试、管线预埋、与现场相关单位和人员对接等所有费用全部由乙方承担。</w:t>
      </w:r>
    </w:p>
    <w:p>
      <w:pPr>
        <w:spacing w:line="300" w:lineRule="auto"/>
        <w:ind w:firstLine="420" w:firstLineChars="200"/>
        <w:rPr>
          <w:rFonts w:ascii="宋体" w:hAnsi="宋体"/>
          <w:bCs/>
          <w:szCs w:val="21"/>
        </w:rPr>
      </w:pPr>
      <w:r>
        <w:rPr>
          <w:rFonts w:hint="eastAsia" w:ascii="宋体" w:hAnsi="宋体"/>
          <w:bCs/>
          <w:szCs w:val="21"/>
        </w:rPr>
        <w:t>四、交货期限及地点：乙方应于2019年  月  日前将本合同项下约定货物运至甲方指定场所，并安装调试完毕</w:t>
      </w:r>
      <w:r>
        <w:rPr>
          <w:rFonts w:hint="eastAsia" w:ascii="宋体" w:hAnsi="宋体"/>
          <w:bCs/>
          <w:color w:val="FF0000"/>
          <w:szCs w:val="21"/>
        </w:rPr>
        <w:t>。</w:t>
      </w:r>
    </w:p>
    <w:p>
      <w:pPr>
        <w:spacing w:line="300" w:lineRule="auto"/>
        <w:ind w:firstLine="420" w:firstLineChars="200"/>
        <w:rPr>
          <w:rFonts w:ascii="宋体" w:hAnsi="宋体"/>
          <w:bCs/>
          <w:szCs w:val="21"/>
        </w:rPr>
      </w:pPr>
      <w:r>
        <w:rPr>
          <w:rFonts w:hint="eastAsia" w:ascii="宋体" w:hAnsi="宋体"/>
          <w:bCs/>
          <w:szCs w:val="21"/>
        </w:rPr>
        <w:t>五、项目变更</w:t>
      </w:r>
    </w:p>
    <w:p>
      <w:pPr>
        <w:spacing w:line="300" w:lineRule="auto"/>
        <w:ind w:firstLine="420" w:firstLineChars="200"/>
        <w:rPr>
          <w:rFonts w:ascii="宋体" w:hAnsi="宋体"/>
          <w:bCs/>
          <w:szCs w:val="21"/>
        </w:rPr>
      </w:pPr>
      <w:r>
        <w:rPr>
          <w:rFonts w:hint="eastAsia" w:ascii="宋体" w:hAnsi="宋体"/>
          <w:bCs/>
          <w:szCs w:val="21"/>
        </w:rPr>
        <w:t>为了维护和兼顾双方的利益，在本合同签署后，甲、乙双方均有权在履行本合同的过程中合理提出变更、扩展、替换或修改本项目的某些部分。</w:t>
      </w:r>
    </w:p>
    <w:p>
      <w:pPr>
        <w:spacing w:line="300" w:lineRule="auto"/>
        <w:ind w:firstLine="420" w:firstLineChars="200"/>
        <w:rPr>
          <w:rFonts w:ascii="宋体" w:hAnsi="宋体"/>
          <w:bCs/>
          <w:szCs w:val="21"/>
        </w:rPr>
      </w:pPr>
      <w:r>
        <w:rPr>
          <w:rFonts w:hint="eastAsia" w:ascii="宋体" w:hAnsi="宋体"/>
          <w:bCs/>
          <w:szCs w:val="21"/>
        </w:rPr>
        <w:t>为此，双方同意：</w:t>
      </w:r>
    </w:p>
    <w:p>
      <w:pPr>
        <w:spacing w:line="300" w:lineRule="auto"/>
        <w:ind w:firstLine="420" w:firstLineChars="200"/>
        <w:rPr>
          <w:rFonts w:ascii="宋体" w:hAnsi="宋体"/>
          <w:bCs/>
          <w:szCs w:val="21"/>
        </w:rPr>
      </w:pPr>
      <w:r>
        <w:rPr>
          <w:rFonts w:hint="eastAsia" w:ascii="宋体" w:hAnsi="宋体"/>
          <w:bCs/>
          <w:szCs w:val="21"/>
        </w:rPr>
        <w:t>1、 甲方应当将变更请求以书面形式提交给乙方。乙方对此作出书面回复，其内容包括该变更对合同价格、项目交付日期、系统功能、项目技术参数的影响和变化以及对合同条款的影响等。</w:t>
      </w:r>
    </w:p>
    <w:p>
      <w:pPr>
        <w:spacing w:line="300" w:lineRule="auto"/>
        <w:ind w:firstLine="420" w:firstLineChars="200"/>
        <w:rPr>
          <w:rFonts w:ascii="宋体" w:hAnsi="宋体"/>
          <w:bCs/>
          <w:szCs w:val="21"/>
        </w:rPr>
      </w:pPr>
      <w:r>
        <w:rPr>
          <w:rFonts w:hint="eastAsia" w:ascii="宋体" w:hAnsi="宋体"/>
          <w:bCs/>
          <w:szCs w:val="21"/>
        </w:rPr>
        <w:t>2、 甲方在收到乙方的回复后，以书面方式通知乙方是否接受乙方上述回复。如果甲方接受乙方的上述回复，则双方应对此变更以书面形式予以确认，并按变更后的约定履行本合同。</w:t>
      </w:r>
    </w:p>
    <w:p>
      <w:pPr>
        <w:spacing w:line="300" w:lineRule="auto"/>
        <w:ind w:firstLine="420" w:firstLineChars="200"/>
        <w:rPr>
          <w:rFonts w:ascii="宋体" w:hAnsi="宋体"/>
          <w:bCs/>
          <w:szCs w:val="21"/>
        </w:rPr>
      </w:pPr>
      <w:r>
        <w:rPr>
          <w:rFonts w:hint="eastAsia" w:ascii="宋体" w:hAnsi="宋体"/>
          <w:bCs/>
          <w:szCs w:val="21"/>
        </w:rPr>
        <w:t>3、 如乙方提出部分项目的变更建议，乙方应同时详细阐明该变更对合同价格、项目交付日期、系统功能、项目技术参数的影响和变化以及对合同条款的影响。</w:t>
      </w:r>
    </w:p>
    <w:p>
      <w:pPr>
        <w:spacing w:line="300" w:lineRule="auto"/>
        <w:ind w:firstLine="420" w:firstLineChars="200"/>
        <w:rPr>
          <w:rFonts w:ascii="宋体" w:hAnsi="宋体"/>
          <w:bCs/>
          <w:szCs w:val="21"/>
        </w:rPr>
      </w:pPr>
      <w:r>
        <w:rPr>
          <w:rFonts w:hint="eastAsia" w:ascii="宋体" w:hAnsi="宋体"/>
          <w:bCs/>
          <w:szCs w:val="21"/>
        </w:rPr>
        <w:t>4、 甲方在收到乙方的上述变更建议后，以书面方式通知乙方是否同意和接受乙方的上述变更建议。如果甲方接受乙方的上述建议，则双方对此变更以书面形式作出确认，双方按照变更后的约定履行本合同。如甲方不同意乙方的上述建议，双方仍按原合同执行，但由此而产生的相关风险由甲方承担。</w:t>
      </w:r>
    </w:p>
    <w:p>
      <w:pPr>
        <w:spacing w:line="300" w:lineRule="auto"/>
        <w:ind w:firstLine="420" w:firstLineChars="200"/>
        <w:rPr>
          <w:rFonts w:ascii="宋体" w:hAnsi="宋体"/>
          <w:bCs/>
          <w:szCs w:val="21"/>
        </w:rPr>
      </w:pPr>
      <w:r>
        <w:rPr>
          <w:rFonts w:hint="eastAsia" w:ascii="宋体" w:hAnsi="宋体"/>
          <w:bCs/>
          <w:szCs w:val="21"/>
        </w:rPr>
        <w:t>六、安全要求：</w:t>
      </w:r>
    </w:p>
    <w:p>
      <w:pPr>
        <w:spacing w:line="300" w:lineRule="auto"/>
        <w:ind w:firstLine="420" w:firstLineChars="200"/>
        <w:rPr>
          <w:rFonts w:ascii="宋体" w:hAnsi="宋体"/>
          <w:bCs/>
          <w:szCs w:val="21"/>
        </w:rPr>
      </w:pPr>
      <w:r>
        <w:rPr>
          <w:rFonts w:hint="eastAsia" w:ascii="宋体" w:hAnsi="宋体"/>
          <w:bCs/>
          <w:szCs w:val="21"/>
        </w:rPr>
        <w:t>乙方在货物设施的装运、安装及调试过程中，乙方、乙方聘请的雇员遭受人身损害或乙方、乙方聘请的雇员令第三方遭受人身损害或财产损失，由此引起的法律责任由乙方全部承担，与甲方无关。若甲方因此为乙方垫付任何款项，甲方有权要求乙方据实立即支付，有权从待付货款中将上述款项自行扣除。</w:t>
      </w:r>
    </w:p>
    <w:p>
      <w:pPr>
        <w:spacing w:line="300" w:lineRule="auto"/>
        <w:ind w:firstLine="420" w:firstLineChars="200"/>
        <w:rPr>
          <w:rFonts w:ascii="宋体" w:hAnsi="宋体"/>
          <w:bCs/>
          <w:szCs w:val="21"/>
        </w:rPr>
      </w:pPr>
      <w:r>
        <w:rPr>
          <w:rFonts w:hint="eastAsia" w:ascii="宋体" w:hAnsi="宋体"/>
          <w:bCs/>
          <w:szCs w:val="21"/>
        </w:rPr>
        <w:t>乙方货物在交付甲方前的风险由乙方全部承担。</w:t>
      </w:r>
    </w:p>
    <w:p>
      <w:pPr>
        <w:spacing w:line="300" w:lineRule="auto"/>
        <w:ind w:firstLine="420" w:firstLineChars="200"/>
        <w:rPr>
          <w:rFonts w:ascii="宋体" w:hAnsi="宋体"/>
          <w:bCs/>
          <w:szCs w:val="21"/>
        </w:rPr>
      </w:pPr>
      <w:r>
        <w:rPr>
          <w:rFonts w:hint="eastAsia" w:ascii="宋体" w:hAnsi="宋体"/>
          <w:bCs/>
          <w:szCs w:val="21"/>
        </w:rPr>
        <w:t>七、安装调试与系统验收</w:t>
      </w:r>
    </w:p>
    <w:p>
      <w:pPr>
        <w:spacing w:line="300" w:lineRule="auto"/>
        <w:ind w:firstLine="420" w:firstLineChars="200"/>
        <w:rPr>
          <w:rFonts w:ascii="宋体" w:hAnsi="宋体"/>
          <w:bCs/>
          <w:szCs w:val="21"/>
        </w:rPr>
      </w:pPr>
      <w:r>
        <w:rPr>
          <w:rFonts w:hint="eastAsia" w:ascii="宋体" w:hAnsi="宋体"/>
          <w:bCs/>
          <w:szCs w:val="21"/>
        </w:rPr>
        <w:t>1、安装调试</w:t>
      </w:r>
    </w:p>
    <w:p>
      <w:pPr>
        <w:spacing w:line="300" w:lineRule="auto"/>
        <w:ind w:firstLine="420" w:firstLineChars="200"/>
        <w:rPr>
          <w:rFonts w:ascii="宋体" w:hAnsi="宋体"/>
          <w:bCs/>
          <w:szCs w:val="21"/>
        </w:rPr>
      </w:pPr>
      <w:r>
        <w:rPr>
          <w:rFonts w:hint="eastAsia" w:ascii="宋体" w:hAnsi="宋体"/>
          <w:bCs/>
          <w:szCs w:val="21"/>
        </w:rPr>
        <w:t>（1） 安装地点为：</w:t>
      </w:r>
    </w:p>
    <w:p>
      <w:pPr>
        <w:spacing w:line="300" w:lineRule="auto"/>
        <w:ind w:firstLine="420" w:firstLineChars="200"/>
        <w:rPr>
          <w:rFonts w:ascii="宋体" w:hAnsi="宋体"/>
          <w:bCs/>
          <w:szCs w:val="21"/>
        </w:rPr>
      </w:pPr>
      <w:r>
        <w:rPr>
          <w:rFonts w:hint="eastAsia" w:ascii="宋体" w:hAnsi="宋体"/>
          <w:bCs/>
          <w:szCs w:val="21"/>
        </w:rPr>
        <w:t xml:space="preserve">      安装时间：甲方提前三天通知乙方。</w:t>
      </w:r>
    </w:p>
    <w:p>
      <w:pPr>
        <w:spacing w:line="300" w:lineRule="auto"/>
        <w:ind w:firstLine="420" w:firstLineChars="200"/>
        <w:rPr>
          <w:rFonts w:ascii="宋体" w:hAnsi="宋体"/>
          <w:bCs/>
          <w:szCs w:val="21"/>
        </w:rPr>
      </w:pPr>
      <w:r>
        <w:rPr>
          <w:rFonts w:hint="eastAsia" w:ascii="宋体" w:hAnsi="宋体"/>
          <w:bCs/>
          <w:szCs w:val="21"/>
        </w:rPr>
        <w:t>（2）在合同系统安装调试前，甲方必须提供以下条件：</w:t>
      </w:r>
    </w:p>
    <w:p>
      <w:pPr>
        <w:spacing w:line="300" w:lineRule="auto"/>
        <w:ind w:firstLine="420" w:firstLineChars="200"/>
        <w:rPr>
          <w:rFonts w:ascii="宋体" w:hAnsi="宋体"/>
          <w:bCs/>
          <w:szCs w:val="21"/>
        </w:rPr>
      </w:pPr>
      <w:r>
        <w:rPr>
          <w:rFonts w:hint="eastAsia" w:ascii="宋体" w:hAnsi="宋体"/>
          <w:bCs/>
          <w:szCs w:val="21"/>
        </w:rPr>
        <w:t>A、提供乙方系统稳定运行所要求的环境条件。</w:t>
      </w:r>
    </w:p>
    <w:p>
      <w:pPr>
        <w:spacing w:line="300" w:lineRule="auto"/>
        <w:ind w:firstLine="420" w:firstLineChars="200"/>
        <w:rPr>
          <w:rFonts w:ascii="宋体" w:hAnsi="宋体"/>
          <w:bCs/>
          <w:szCs w:val="21"/>
        </w:rPr>
      </w:pPr>
      <w:r>
        <w:rPr>
          <w:rFonts w:hint="eastAsia" w:ascii="宋体" w:hAnsi="宋体"/>
          <w:bCs/>
          <w:szCs w:val="21"/>
        </w:rPr>
        <w:t>B、提供乙方设计方案中所要求的资料。</w:t>
      </w:r>
    </w:p>
    <w:p>
      <w:pPr>
        <w:spacing w:line="300" w:lineRule="auto"/>
        <w:ind w:firstLine="420" w:firstLineChars="200"/>
        <w:rPr>
          <w:rFonts w:ascii="宋体" w:hAnsi="宋体"/>
          <w:bCs/>
          <w:szCs w:val="21"/>
        </w:rPr>
      </w:pPr>
      <w:r>
        <w:rPr>
          <w:rFonts w:hint="eastAsia" w:ascii="宋体" w:hAnsi="宋体"/>
          <w:bCs/>
          <w:szCs w:val="21"/>
        </w:rPr>
        <w:t>（3）如在安装日前，甲方未将乙方要求的各项准备工作全部就绪，造成时间延误，则安装日期顺延。</w:t>
      </w:r>
    </w:p>
    <w:p>
      <w:pPr>
        <w:spacing w:line="300" w:lineRule="auto"/>
        <w:ind w:firstLine="420" w:firstLineChars="200"/>
        <w:rPr>
          <w:rFonts w:ascii="宋体" w:hAnsi="宋体"/>
          <w:bCs/>
          <w:szCs w:val="21"/>
        </w:rPr>
      </w:pPr>
      <w:r>
        <w:rPr>
          <w:rFonts w:hint="eastAsia" w:ascii="宋体" w:hAnsi="宋体"/>
          <w:bCs/>
          <w:szCs w:val="21"/>
        </w:rPr>
        <w:t>（4） 乙方在系统安装前，有义务对甲方的准备工作提出明确的要求并进行指导。</w:t>
      </w:r>
    </w:p>
    <w:p>
      <w:pPr>
        <w:spacing w:line="300" w:lineRule="auto"/>
        <w:ind w:firstLine="420" w:firstLineChars="200"/>
        <w:rPr>
          <w:rFonts w:ascii="宋体" w:hAnsi="宋体"/>
          <w:bCs/>
          <w:szCs w:val="21"/>
        </w:rPr>
      </w:pPr>
      <w:r>
        <w:rPr>
          <w:rFonts w:hint="eastAsia" w:ascii="宋体" w:hAnsi="宋体"/>
          <w:bCs/>
          <w:szCs w:val="21"/>
        </w:rPr>
        <w:t>（5）在安装调试时，乙方准备专用的安装调试工具，如需要其它通用工具和设备需甲方提供时，甲方应给予协助解决。</w:t>
      </w:r>
    </w:p>
    <w:p>
      <w:pPr>
        <w:spacing w:line="300" w:lineRule="auto"/>
        <w:ind w:firstLine="420" w:firstLineChars="200"/>
        <w:rPr>
          <w:rFonts w:ascii="宋体" w:hAnsi="宋体"/>
          <w:bCs/>
          <w:szCs w:val="21"/>
        </w:rPr>
      </w:pPr>
      <w:r>
        <w:rPr>
          <w:rFonts w:hint="eastAsia" w:ascii="宋体" w:hAnsi="宋体"/>
          <w:bCs/>
          <w:szCs w:val="21"/>
        </w:rPr>
        <w:t>（6）安装调试过程中，甲、乙双方应积极配合，甲方须配备专业技术人员和辅助人员，配合乙方技术人员从事安装调试及其它辅助工作。</w:t>
      </w:r>
    </w:p>
    <w:p>
      <w:pPr>
        <w:spacing w:line="300" w:lineRule="auto"/>
        <w:ind w:firstLine="420" w:firstLineChars="200"/>
        <w:rPr>
          <w:rFonts w:ascii="宋体" w:hAnsi="宋体"/>
          <w:bCs/>
          <w:szCs w:val="21"/>
        </w:rPr>
      </w:pPr>
      <w:r>
        <w:rPr>
          <w:rFonts w:hint="eastAsia" w:ascii="宋体" w:hAnsi="宋体"/>
          <w:bCs/>
          <w:szCs w:val="21"/>
        </w:rPr>
        <w:t>2、 系统验收</w:t>
      </w:r>
    </w:p>
    <w:p>
      <w:pPr>
        <w:spacing w:line="300" w:lineRule="auto"/>
        <w:ind w:firstLine="420" w:firstLineChars="200"/>
        <w:rPr>
          <w:rFonts w:ascii="宋体" w:hAnsi="宋体"/>
          <w:bCs/>
          <w:szCs w:val="21"/>
        </w:rPr>
      </w:pPr>
      <w:r>
        <w:rPr>
          <w:rFonts w:hint="eastAsia" w:ascii="宋体" w:hAnsi="宋体"/>
          <w:bCs/>
          <w:szCs w:val="21"/>
        </w:rPr>
        <w:t>本项目的货物必须是原装正品行货、全新未开封的、符合国家标准的产品，中标供应商按采购人的要求地址进行送货到位。</w:t>
      </w:r>
    </w:p>
    <w:p>
      <w:pPr>
        <w:spacing w:line="300" w:lineRule="auto"/>
        <w:ind w:firstLine="420" w:firstLineChars="200"/>
        <w:rPr>
          <w:rFonts w:ascii="宋体" w:hAnsi="宋体"/>
          <w:bCs/>
          <w:szCs w:val="21"/>
        </w:rPr>
      </w:pPr>
      <w:r>
        <w:rPr>
          <w:rFonts w:hint="eastAsia" w:ascii="宋体" w:hAnsi="宋体"/>
          <w:bCs/>
          <w:szCs w:val="21"/>
        </w:rPr>
        <w:t>（1）产品或者其包装上的标识应当符和下列要求：</w:t>
      </w:r>
    </w:p>
    <w:p>
      <w:pPr>
        <w:spacing w:line="300" w:lineRule="auto"/>
        <w:ind w:firstLine="420" w:firstLineChars="200"/>
        <w:rPr>
          <w:rFonts w:ascii="宋体" w:hAnsi="宋体"/>
          <w:bCs/>
          <w:szCs w:val="21"/>
        </w:rPr>
      </w:pPr>
      <w:r>
        <w:rPr>
          <w:rFonts w:hint="eastAsia" w:ascii="宋体" w:hAnsi="宋体"/>
          <w:bCs/>
          <w:szCs w:val="21"/>
        </w:rPr>
        <w:t>a、有产品质量检验合格证明；</w:t>
      </w:r>
    </w:p>
    <w:p>
      <w:pPr>
        <w:spacing w:line="300" w:lineRule="auto"/>
        <w:ind w:firstLine="420" w:firstLineChars="200"/>
        <w:rPr>
          <w:rFonts w:ascii="宋体" w:hAnsi="宋体"/>
          <w:bCs/>
          <w:szCs w:val="21"/>
        </w:rPr>
      </w:pPr>
      <w:r>
        <w:rPr>
          <w:rFonts w:hint="eastAsia" w:ascii="宋体" w:hAnsi="宋体"/>
          <w:bCs/>
          <w:szCs w:val="21"/>
        </w:rPr>
        <w:t>b、有中文标明的产品名称、生产厂厂名和厂址；</w:t>
      </w:r>
    </w:p>
    <w:p>
      <w:pPr>
        <w:spacing w:line="300" w:lineRule="auto"/>
        <w:ind w:firstLine="420" w:firstLineChars="200"/>
        <w:rPr>
          <w:rFonts w:ascii="宋体" w:hAnsi="宋体"/>
          <w:bCs/>
          <w:szCs w:val="21"/>
        </w:rPr>
      </w:pPr>
      <w:r>
        <w:rPr>
          <w:rFonts w:hint="eastAsia" w:ascii="宋体" w:hAnsi="宋体"/>
          <w:bCs/>
          <w:szCs w:val="21"/>
        </w:rPr>
        <w:t>c、根据产品的特点和使用要求，需要标明产品规格、等级、所含主要成分的名称和含量的，相应予以标明；</w:t>
      </w:r>
    </w:p>
    <w:p>
      <w:pPr>
        <w:spacing w:line="300" w:lineRule="auto"/>
        <w:ind w:firstLine="420" w:firstLineChars="200"/>
        <w:rPr>
          <w:rFonts w:ascii="宋体" w:hAnsi="宋体"/>
          <w:bCs/>
          <w:szCs w:val="21"/>
        </w:rPr>
      </w:pPr>
      <w:r>
        <w:rPr>
          <w:rFonts w:hint="eastAsia" w:ascii="宋体" w:hAnsi="宋体"/>
          <w:bCs/>
          <w:szCs w:val="21"/>
        </w:rPr>
        <w:t>d、限期使用的产品，标明生产日期和安全使用期或者失效日期；</w:t>
      </w:r>
    </w:p>
    <w:p>
      <w:pPr>
        <w:spacing w:line="300" w:lineRule="auto"/>
        <w:ind w:firstLine="420" w:firstLineChars="200"/>
        <w:rPr>
          <w:rFonts w:ascii="宋体" w:hAnsi="宋体"/>
          <w:bCs/>
          <w:szCs w:val="21"/>
        </w:rPr>
      </w:pPr>
      <w:r>
        <w:rPr>
          <w:rFonts w:hint="eastAsia" w:ascii="宋体" w:hAnsi="宋体"/>
          <w:bCs/>
          <w:szCs w:val="21"/>
        </w:rPr>
        <w:t>e、使用不当，容易造成产品本身损坏或者可能危及人身、财产安全的产品，有警示标志或者中文警示说明；</w:t>
      </w:r>
    </w:p>
    <w:p>
      <w:pPr>
        <w:spacing w:line="300" w:lineRule="auto"/>
        <w:ind w:firstLine="420" w:firstLineChars="200"/>
        <w:rPr>
          <w:rFonts w:ascii="宋体" w:hAnsi="宋体"/>
          <w:bCs/>
          <w:szCs w:val="21"/>
        </w:rPr>
      </w:pPr>
      <w:r>
        <w:rPr>
          <w:rFonts w:hint="eastAsia" w:ascii="宋体" w:hAnsi="宋体"/>
          <w:bCs/>
          <w:szCs w:val="21"/>
        </w:rPr>
        <w:t>f、剧毒、危险、易碎、储运中不能倒置以及有其他特殊要求的产品，其包装必须符合相应要求，有警示标志或者中文警示说明标明储运注意事项。</w:t>
      </w:r>
    </w:p>
    <w:p>
      <w:pPr>
        <w:spacing w:line="300" w:lineRule="auto"/>
        <w:ind w:firstLine="420" w:firstLineChars="200"/>
        <w:rPr>
          <w:rFonts w:ascii="宋体" w:hAnsi="宋体"/>
          <w:bCs/>
          <w:szCs w:val="21"/>
        </w:rPr>
      </w:pPr>
      <w:r>
        <w:rPr>
          <w:rFonts w:hint="eastAsia" w:ascii="宋体" w:hAnsi="宋体"/>
          <w:bCs/>
          <w:szCs w:val="21"/>
        </w:rPr>
        <w:t>（2）施工安装要求</w:t>
      </w:r>
    </w:p>
    <w:p>
      <w:pPr>
        <w:spacing w:line="300" w:lineRule="auto"/>
        <w:ind w:firstLine="420" w:firstLineChars="200"/>
        <w:rPr>
          <w:rFonts w:ascii="宋体" w:hAnsi="宋体"/>
          <w:bCs/>
          <w:szCs w:val="21"/>
        </w:rPr>
      </w:pPr>
      <w:r>
        <w:rPr>
          <w:rFonts w:hint="eastAsia" w:ascii="宋体" w:hAnsi="宋体"/>
          <w:bCs/>
          <w:szCs w:val="21"/>
        </w:rPr>
        <w:t>在主要设备明显处贴上有中标人相关信息、售后服务联系人、联系电话、保修起始日期，保修年限等。</w:t>
      </w:r>
    </w:p>
    <w:p>
      <w:pPr>
        <w:spacing w:line="300" w:lineRule="auto"/>
        <w:ind w:firstLine="420" w:firstLineChars="200"/>
        <w:rPr>
          <w:rFonts w:ascii="宋体" w:hAnsi="宋体"/>
          <w:bCs/>
          <w:szCs w:val="21"/>
        </w:rPr>
      </w:pPr>
      <w:r>
        <w:rPr>
          <w:rFonts w:hint="eastAsia" w:ascii="宋体" w:hAnsi="宋体"/>
          <w:bCs/>
          <w:szCs w:val="21"/>
        </w:rPr>
        <w:t>（3）项目验收</w:t>
      </w:r>
    </w:p>
    <w:p>
      <w:pPr>
        <w:spacing w:line="300" w:lineRule="auto"/>
        <w:ind w:firstLine="420" w:firstLineChars="200"/>
        <w:rPr>
          <w:rFonts w:ascii="宋体" w:hAnsi="宋体"/>
          <w:bCs/>
          <w:szCs w:val="21"/>
        </w:rPr>
      </w:pPr>
      <w:r>
        <w:rPr>
          <w:rFonts w:hint="eastAsia" w:ascii="宋体" w:hAnsi="宋体"/>
          <w:bCs/>
          <w:szCs w:val="21"/>
        </w:rPr>
        <w:t>a、项目施工验收流程</w:t>
      </w:r>
    </w:p>
    <w:p>
      <w:pPr>
        <w:spacing w:line="300" w:lineRule="auto"/>
        <w:ind w:firstLine="420" w:firstLineChars="200"/>
        <w:rPr>
          <w:rFonts w:ascii="宋体" w:hAnsi="宋体"/>
          <w:bCs/>
          <w:szCs w:val="21"/>
        </w:rPr>
      </w:pPr>
      <w:r>
        <w:rPr>
          <w:rFonts w:hint="eastAsia" w:ascii="宋体" w:hAnsi="宋体"/>
          <w:bCs/>
          <w:szCs w:val="21"/>
        </w:rPr>
        <w:t>验收工作安排在安装工作完成后进行。为保证验收的科学、公平，采购人将根据相关要求组成验收小组对本项目进行验收，且项目中标方代表1-2人须在现场协助验收组工作，并就有关问题进行解答和说明。</w:t>
      </w:r>
    </w:p>
    <w:p>
      <w:pPr>
        <w:spacing w:line="300" w:lineRule="auto"/>
        <w:ind w:firstLine="420" w:firstLineChars="200"/>
        <w:rPr>
          <w:rFonts w:ascii="宋体" w:hAnsi="宋体"/>
          <w:bCs/>
          <w:szCs w:val="21"/>
        </w:rPr>
      </w:pPr>
      <w:r>
        <w:rPr>
          <w:rFonts w:hint="eastAsia" w:ascii="宋体" w:hAnsi="宋体"/>
          <w:bCs/>
          <w:szCs w:val="21"/>
        </w:rPr>
        <w:t>验收内容为系统齐备（完整性）检查、主要功能演示、安全措施检查（试操作）、基本技能学习和操作（1—2人）、相关文档交接等。验收过程发现问题，验收小组需提出整改意见和具体解决办法，或当场解决或限期解决，必须所有项目达标才能通过验收。</w:t>
      </w:r>
    </w:p>
    <w:p>
      <w:pPr>
        <w:spacing w:line="300" w:lineRule="auto"/>
        <w:ind w:firstLine="420" w:firstLineChars="200"/>
        <w:rPr>
          <w:rFonts w:ascii="宋体" w:hAnsi="宋体"/>
          <w:bCs/>
          <w:szCs w:val="21"/>
        </w:rPr>
      </w:pPr>
      <w:r>
        <w:rPr>
          <w:rFonts w:hint="eastAsia" w:ascii="宋体" w:hAnsi="宋体"/>
          <w:bCs/>
          <w:szCs w:val="21"/>
        </w:rPr>
        <w:t>经以上流程，并查验相关验收材料（含照片），由验收小组最终确认项目验收结果。</w:t>
      </w:r>
    </w:p>
    <w:p>
      <w:pPr>
        <w:spacing w:line="300" w:lineRule="auto"/>
        <w:ind w:firstLine="420" w:firstLineChars="200"/>
        <w:rPr>
          <w:rFonts w:ascii="宋体" w:hAnsi="宋体"/>
          <w:bCs/>
          <w:szCs w:val="21"/>
        </w:rPr>
      </w:pPr>
      <w:r>
        <w:rPr>
          <w:rFonts w:hint="eastAsia" w:ascii="宋体" w:hAnsi="宋体"/>
          <w:bCs/>
          <w:szCs w:val="21"/>
        </w:rPr>
        <w:t>b、验收内容</w:t>
      </w:r>
    </w:p>
    <w:p>
      <w:pPr>
        <w:spacing w:line="300" w:lineRule="auto"/>
        <w:ind w:firstLine="420" w:firstLineChars="200"/>
        <w:rPr>
          <w:rFonts w:ascii="宋体" w:hAnsi="宋体"/>
          <w:bCs/>
          <w:szCs w:val="21"/>
        </w:rPr>
      </w:pPr>
      <w:r>
        <w:rPr>
          <w:rFonts w:hint="eastAsia" w:ascii="宋体" w:hAnsi="宋体"/>
          <w:bCs/>
          <w:szCs w:val="21"/>
        </w:rPr>
        <w:t>（a）齐备性、完好性检查</w:t>
      </w:r>
    </w:p>
    <w:p>
      <w:pPr>
        <w:spacing w:line="300" w:lineRule="auto"/>
        <w:ind w:firstLine="420" w:firstLineChars="200"/>
        <w:rPr>
          <w:rFonts w:ascii="宋体" w:hAnsi="宋体"/>
          <w:bCs/>
          <w:szCs w:val="21"/>
        </w:rPr>
      </w:pPr>
      <w:r>
        <w:rPr>
          <w:rFonts w:hint="eastAsia" w:ascii="宋体" w:hAnsi="宋体"/>
          <w:bCs/>
          <w:szCs w:val="21"/>
        </w:rPr>
        <w:t>通过检查系统主要设备外包装（装箱单）相关信息、非破坏性外观目测等方式进行。系统齐备性检查：包括各设备主件、附件（配件、赠送件等）数量核对和外观检查；系统组装（安装）外观检查：设备等按要求的安装质量。</w:t>
      </w:r>
    </w:p>
    <w:p>
      <w:pPr>
        <w:spacing w:line="300" w:lineRule="auto"/>
        <w:ind w:firstLine="420" w:firstLineChars="200"/>
        <w:rPr>
          <w:rFonts w:ascii="宋体" w:hAnsi="宋体"/>
          <w:bCs/>
          <w:szCs w:val="21"/>
        </w:rPr>
      </w:pPr>
      <w:r>
        <w:rPr>
          <w:rFonts w:hint="eastAsia" w:ascii="宋体" w:hAnsi="宋体"/>
          <w:bCs/>
          <w:szCs w:val="21"/>
        </w:rPr>
        <w:t>（b）主要功能（性能、功能、参数）达标检查</w:t>
      </w:r>
    </w:p>
    <w:p>
      <w:pPr>
        <w:spacing w:line="300" w:lineRule="auto"/>
        <w:ind w:firstLine="420" w:firstLineChars="200"/>
        <w:rPr>
          <w:rFonts w:ascii="宋体" w:hAnsi="宋体"/>
          <w:bCs/>
          <w:szCs w:val="21"/>
        </w:rPr>
      </w:pPr>
      <w:r>
        <w:rPr>
          <w:rFonts w:hint="eastAsia" w:ascii="宋体" w:hAnsi="宋体"/>
          <w:bCs/>
          <w:szCs w:val="21"/>
        </w:rPr>
        <w:t>通过检查系统主要设备使用说明书（合格证书等）相关信息、主要功能实际操作和性能测试。</w:t>
      </w:r>
    </w:p>
    <w:p>
      <w:pPr>
        <w:spacing w:line="300" w:lineRule="auto"/>
        <w:ind w:firstLine="420" w:firstLineChars="200"/>
        <w:rPr>
          <w:rFonts w:ascii="宋体" w:hAnsi="宋体"/>
          <w:bCs/>
          <w:szCs w:val="21"/>
        </w:rPr>
      </w:pPr>
      <w:r>
        <w:rPr>
          <w:rFonts w:hint="eastAsia" w:ascii="宋体" w:hAnsi="宋体"/>
          <w:bCs/>
          <w:szCs w:val="21"/>
        </w:rPr>
        <w:t>（c）验收确认</w:t>
      </w:r>
    </w:p>
    <w:p>
      <w:pPr>
        <w:spacing w:line="300" w:lineRule="auto"/>
        <w:ind w:firstLine="420" w:firstLineChars="200"/>
        <w:rPr>
          <w:rFonts w:ascii="宋体" w:hAnsi="宋体"/>
          <w:bCs/>
          <w:szCs w:val="21"/>
        </w:rPr>
      </w:pPr>
      <w:r>
        <w:rPr>
          <w:rFonts w:hint="eastAsia" w:ascii="宋体" w:hAnsi="宋体"/>
          <w:bCs/>
          <w:szCs w:val="21"/>
        </w:rPr>
        <w:t>填写综合验收表，验收人员分别签名（盖章），验收时，按要求拍摄施工完成场景照片。</w:t>
      </w:r>
    </w:p>
    <w:p>
      <w:pPr>
        <w:spacing w:line="300" w:lineRule="auto"/>
        <w:ind w:firstLine="420" w:firstLineChars="200"/>
        <w:rPr>
          <w:rFonts w:ascii="宋体" w:hAnsi="宋体"/>
          <w:bCs/>
          <w:szCs w:val="21"/>
        </w:rPr>
      </w:pPr>
      <w:r>
        <w:rPr>
          <w:rFonts w:hint="eastAsia" w:ascii="宋体" w:hAnsi="宋体"/>
          <w:bCs/>
          <w:szCs w:val="21"/>
        </w:rPr>
        <w:t>c、项目文档</w:t>
      </w:r>
    </w:p>
    <w:p>
      <w:pPr>
        <w:spacing w:line="300" w:lineRule="auto"/>
        <w:ind w:firstLine="420" w:firstLineChars="200"/>
        <w:rPr>
          <w:rFonts w:ascii="宋体" w:hAnsi="宋体"/>
          <w:bCs/>
          <w:szCs w:val="21"/>
        </w:rPr>
      </w:pPr>
      <w:r>
        <w:rPr>
          <w:rFonts w:hint="eastAsia" w:ascii="宋体" w:hAnsi="宋体"/>
          <w:bCs/>
          <w:szCs w:val="21"/>
        </w:rPr>
        <w:t>乙方将项目文档装定成册后移交给甲方一份：</w:t>
      </w:r>
    </w:p>
    <w:p>
      <w:pPr>
        <w:spacing w:line="300" w:lineRule="auto"/>
        <w:ind w:firstLine="420" w:firstLineChars="200"/>
        <w:rPr>
          <w:rFonts w:ascii="宋体" w:hAnsi="宋体"/>
          <w:bCs/>
          <w:szCs w:val="21"/>
        </w:rPr>
      </w:pPr>
      <w:r>
        <w:rPr>
          <w:rFonts w:hint="eastAsia" w:ascii="宋体" w:hAnsi="宋体"/>
          <w:bCs/>
          <w:szCs w:val="21"/>
        </w:rPr>
        <w:t>（a）项目验收表；</w:t>
      </w:r>
    </w:p>
    <w:p>
      <w:pPr>
        <w:spacing w:line="300" w:lineRule="auto"/>
        <w:ind w:firstLine="420" w:firstLineChars="200"/>
        <w:rPr>
          <w:rFonts w:ascii="宋体" w:hAnsi="宋体"/>
          <w:bCs/>
          <w:szCs w:val="21"/>
        </w:rPr>
      </w:pPr>
      <w:r>
        <w:rPr>
          <w:rFonts w:hint="eastAsia" w:ascii="宋体" w:hAnsi="宋体"/>
          <w:bCs/>
          <w:szCs w:val="21"/>
        </w:rPr>
        <w:t>（b）主要设备质量保证卡、使用手册、维修联系方式等；</w:t>
      </w:r>
    </w:p>
    <w:p>
      <w:pPr>
        <w:spacing w:line="300" w:lineRule="auto"/>
        <w:ind w:firstLine="420" w:firstLineChars="200"/>
        <w:rPr>
          <w:rFonts w:ascii="宋体" w:hAnsi="宋体"/>
          <w:bCs/>
          <w:szCs w:val="21"/>
        </w:rPr>
      </w:pPr>
      <w:r>
        <w:rPr>
          <w:rFonts w:hint="eastAsia" w:ascii="宋体" w:hAnsi="宋体"/>
          <w:bCs/>
          <w:szCs w:val="21"/>
        </w:rPr>
        <w:t>（c）乙方有关联系方式；</w:t>
      </w:r>
    </w:p>
    <w:p>
      <w:pPr>
        <w:spacing w:line="300" w:lineRule="auto"/>
        <w:ind w:firstLine="420" w:firstLineChars="200"/>
        <w:rPr>
          <w:rFonts w:ascii="宋体" w:hAnsi="宋体"/>
          <w:bCs/>
          <w:szCs w:val="21"/>
        </w:rPr>
      </w:pPr>
      <w:r>
        <w:rPr>
          <w:rFonts w:hint="eastAsia" w:ascii="宋体" w:hAnsi="宋体"/>
          <w:bCs/>
          <w:szCs w:val="21"/>
        </w:rPr>
        <w:t>（d）配套软件使用手册。</w:t>
      </w:r>
    </w:p>
    <w:p>
      <w:pPr>
        <w:spacing w:line="300" w:lineRule="auto"/>
        <w:ind w:firstLine="420" w:firstLineChars="200"/>
        <w:rPr>
          <w:rFonts w:ascii="宋体" w:hAnsi="宋体"/>
          <w:bCs/>
          <w:szCs w:val="21"/>
        </w:rPr>
      </w:pPr>
      <w:r>
        <w:rPr>
          <w:rFonts w:hint="eastAsia" w:ascii="宋体" w:hAnsi="宋体"/>
          <w:bCs/>
          <w:szCs w:val="21"/>
        </w:rPr>
        <w:t>（e）乙方通过向验收小组提供有关单位、经办人签名盖章的项目验收表。</w:t>
      </w:r>
    </w:p>
    <w:p>
      <w:pPr>
        <w:spacing w:line="300" w:lineRule="auto"/>
        <w:ind w:firstLine="420" w:firstLineChars="200"/>
        <w:rPr>
          <w:rFonts w:ascii="宋体" w:hAnsi="宋体"/>
          <w:bCs/>
          <w:szCs w:val="21"/>
          <w:u w:val="single"/>
        </w:rPr>
      </w:pPr>
      <w:r>
        <w:rPr>
          <w:rFonts w:hint="eastAsia" w:ascii="宋体" w:hAnsi="宋体"/>
          <w:bCs/>
          <w:szCs w:val="21"/>
        </w:rPr>
        <w:t>八、付款方式及日期：</w:t>
      </w:r>
      <w:r>
        <w:rPr>
          <w:rFonts w:hint="eastAsia" w:ascii="宋体" w:hAnsi="宋体"/>
          <w:bCs/>
          <w:szCs w:val="21"/>
          <w:u w:val="single"/>
        </w:rPr>
        <w:t xml:space="preserve">                                    </w:t>
      </w:r>
    </w:p>
    <w:p>
      <w:pPr>
        <w:spacing w:line="300" w:lineRule="auto"/>
        <w:ind w:firstLine="420" w:firstLineChars="200"/>
        <w:rPr>
          <w:rFonts w:ascii="宋体" w:hAnsi="宋体"/>
          <w:bCs/>
          <w:szCs w:val="21"/>
        </w:rPr>
      </w:pPr>
      <w:r>
        <w:rPr>
          <w:rFonts w:hint="eastAsia" w:ascii="宋体" w:hAnsi="宋体"/>
          <w:bCs/>
          <w:szCs w:val="21"/>
        </w:rPr>
        <w:t>支付方式为银行转账支付至乙方指定账户（账户名：  ，账号：  开户行：）。</w:t>
      </w:r>
    </w:p>
    <w:tbl>
      <w:tblPr>
        <w:tblStyle w:val="13"/>
        <w:tblW w:w="7867" w:type="dxa"/>
        <w:tblInd w:w="6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7867" w:type="dxa"/>
          </w:tcPr>
          <w:p>
            <w:pPr>
              <w:spacing w:line="300" w:lineRule="auto"/>
              <w:ind w:firstLine="420" w:firstLineChars="200"/>
              <w:rPr>
                <w:rFonts w:ascii="宋体" w:hAnsi="宋体"/>
                <w:bCs/>
                <w:szCs w:val="21"/>
              </w:rPr>
            </w:pPr>
            <w:r>
              <w:rPr>
                <w:rFonts w:hint="eastAsia" w:ascii="宋体" w:hAnsi="宋体"/>
                <w:bCs/>
                <w:szCs w:val="21"/>
              </w:rPr>
              <w:t>增值税专用发票开票信息:</w:t>
            </w:r>
          </w:p>
          <w:p>
            <w:pPr>
              <w:spacing w:line="300" w:lineRule="auto"/>
              <w:ind w:left="479" w:leftChars="228"/>
              <w:rPr>
                <w:rFonts w:ascii="宋体" w:hAnsi="宋体"/>
                <w:bCs/>
                <w:szCs w:val="21"/>
              </w:rPr>
            </w:pPr>
            <w:r>
              <w:rPr>
                <w:rFonts w:hint="eastAsia" w:ascii="宋体" w:hAnsi="宋体"/>
                <w:bCs/>
                <w:szCs w:val="21"/>
              </w:rPr>
              <w:t xml:space="preserve">名称： </w:t>
            </w:r>
            <w:r>
              <w:rPr>
                <w:rFonts w:hint="eastAsia" w:ascii="宋体" w:hAnsi="宋体"/>
                <w:bCs/>
                <w:szCs w:val="21"/>
              </w:rPr>
              <w:br w:type="textWrapping"/>
            </w:r>
            <w:r>
              <w:rPr>
                <w:rFonts w:hint="eastAsia" w:ascii="宋体" w:hAnsi="宋体"/>
                <w:bCs/>
                <w:szCs w:val="21"/>
              </w:rPr>
              <w:t>纳税人识别号：</w:t>
            </w:r>
          </w:p>
          <w:p>
            <w:pPr>
              <w:spacing w:line="300" w:lineRule="auto"/>
              <w:ind w:firstLine="420" w:firstLineChars="200"/>
              <w:rPr>
                <w:rFonts w:ascii="宋体" w:hAnsi="宋体"/>
                <w:bCs/>
                <w:szCs w:val="21"/>
              </w:rPr>
            </w:pPr>
            <w:r>
              <w:rPr>
                <w:rFonts w:hint="eastAsia" w:ascii="宋体" w:hAnsi="宋体"/>
                <w:bCs/>
                <w:szCs w:val="21"/>
              </w:rPr>
              <w:t>统一社会信用代码：</w:t>
            </w:r>
          </w:p>
          <w:p>
            <w:pPr>
              <w:spacing w:line="300" w:lineRule="auto"/>
              <w:ind w:firstLine="420" w:firstLineChars="200"/>
              <w:rPr>
                <w:rFonts w:ascii="宋体" w:hAnsi="宋体"/>
                <w:bCs/>
                <w:szCs w:val="21"/>
              </w:rPr>
            </w:pPr>
            <w:r>
              <w:rPr>
                <w:rFonts w:hint="eastAsia" w:ascii="宋体" w:hAnsi="宋体"/>
                <w:bCs/>
                <w:szCs w:val="21"/>
              </w:rPr>
              <w:t>地址、电话：</w:t>
            </w:r>
          </w:p>
          <w:p>
            <w:pPr>
              <w:spacing w:line="300" w:lineRule="auto"/>
              <w:ind w:firstLine="420" w:firstLineChars="200"/>
              <w:rPr>
                <w:rFonts w:ascii="宋体" w:hAnsi="宋体"/>
                <w:bCs/>
                <w:szCs w:val="21"/>
              </w:rPr>
            </w:pPr>
            <w:r>
              <w:rPr>
                <w:rFonts w:hint="eastAsia" w:ascii="宋体" w:hAnsi="宋体"/>
                <w:bCs/>
                <w:szCs w:val="21"/>
              </w:rPr>
              <w:t>开户行及帐号：</w:t>
            </w:r>
          </w:p>
          <w:p>
            <w:pPr>
              <w:spacing w:line="300" w:lineRule="auto"/>
              <w:ind w:firstLine="420" w:firstLineChars="200"/>
              <w:rPr>
                <w:rFonts w:ascii="宋体" w:hAnsi="宋体"/>
                <w:bCs/>
                <w:szCs w:val="21"/>
              </w:rPr>
            </w:pPr>
            <w:r>
              <w:rPr>
                <w:rFonts w:hint="eastAsia" w:ascii="宋体" w:hAnsi="宋体"/>
                <w:bCs/>
                <w:szCs w:val="21"/>
              </w:rPr>
              <w:t>行号：</w:t>
            </w:r>
          </w:p>
        </w:tc>
      </w:tr>
    </w:tbl>
    <w:p>
      <w:pPr>
        <w:spacing w:line="300" w:lineRule="auto"/>
        <w:ind w:firstLine="420" w:firstLineChars="200"/>
        <w:rPr>
          <w:rFonts w:ascii="宋体" w:hAnsi="宋体"/>
          <w:bCs/>
          <w:szCs w:val="21"/>
        </w:rPr>
      </w:pPr>
      <w:r>
        <w:rPr>
          <w:rFonts w:hint="eastAsia" w:ascii="宋体" w:hAnsi="宋体"/>
          <w:bCs/>
          <w:szCs w:val="21"/>
        </w:rPr>
        <w:t>九、质保及售后服务：</w:t>
      </w:r>
    </w:p>
    <w:p>
      <w:pPr>
        <w:spacing w:line="300" w:lineRule="auto"/>
        <w:ind w:firstLine="420" w:firstLineChars="200"/>
        <w:rPr>
          <w:rFonts w:ascii="宋体" w:hAnsi="宋体"/>
          <w:bCs/>
          <w:szCs w:val="21"/>
        </w:rPr>
      </w:pPr>
      <w:r>
        <w:rPr>
          <w:rFonts w:hint="eastAsia" w:ascii="宋体" w:hAnsi="宋体"/>
          <w:bCs/>
          <w:szCs w:val="21"/>
        </w:rPr>
        <w:t>1、本项目整体质保期不少于   年（相关设备质保期见订货清单）。</w:t>
      </w:r>
    </w:p>
    <w:p>
      <w:pPr>
        <w:spacing w:line="300" w:lineRule="auto"/>
        <w:ind w:firstLine="420" w:firstLineChars="200"/>
        <w:rPr>
          <w:rFonts w:ascii="宋体" w:hAnsi="宋体"/>
          <w:bCs/>
          <w:szCs w:val="21"/>
        </w:rPr>
      </w:pPr>
      <w:r>
        <w:rPr>
          <w:rFonts w:hint="eastAsia" w:ascii="宋体" w:hAnsi="宋体"/>
          <w:bCs/>
          <w:szCs w:val="21"/>
        </w:rPr>
        <w:t>2、质量保证期内，如果证实货物是有缺陷的，包括潜在的缺陷或者使用不符合要求的材料等，乙方应立即免费维修或者更换有缺陷的货物或者部件，保证达到合同规定的技术以及性能要求。如果乙方在收到通知后 5 天内没有弥补缺陷，甲方可自行采取必要的补救措施，但风险和费用由乙方承担，甲方同时保留通过法律途径进行索赔的权利。</w:t>
      </w:r>
    </w:p>
    <w:p>
      <w:pPr>
        <w:spacing w:line="300" w:lineRule="auto"/>
        <w:ind w:firstLine="420" w:firstLineChars="200"/>
        <w:rPr>
          <w:rFonts w:ascii="宋体" w:hAnsi="宋体"/>
          <w:bCs/>
          <w:szCs w:val="21"/>
        </w:rPr>
      </w:pPr>
      <w:r>
        <w:rPr>
          <w:rFonts w:hint="eastAsia" w:ascii="宋体" w:hAnsi="宋体"/>
          <w:bCs/>
          <w:szCs w:val="21"/>
        </w:rPr>
        <w:t>3、乙方应提供及时周到的售后服务，应保证每半年至少一次上门回访、检修和人员培训。</w:t>
      </w:r>
    </w:p>
    <w:p>
      <w:pPr>
        <w:spacing w:line="300" w:lineRule="auto"/>
        <w:ind w:firstLine="420" w:firstLineChars="200"/>
        <w:rPr>
          <w:rFonts w:ascii="宋体" w:hAnsi="宋体"/>
          <w:bCs/>
          <w:szCs w:val="21"/>
        </w:rPr>
      </w:pPr>
      <w:r>
        <w:rPr>
          <w:rFonts w:hint="eastAsia" w:ascii="宋体" w:hAnsi="宋体"/>
          <w:bCs/>
          <w:szCs w:val="21"/>
        </w:rPr>
        <w:t>4、乙方应提供7×24小时咨询服务，对于系统设备在使用过程中出现的问题，在  小时内响应，如遇与所供产品有关的问题无法远程解决的，在接用户通知后,   小时赶到现场提供免费服务；  小时内未解决的乙方应提供详细的应急解决方案，   小时内修复使用，若   小时内无法排除故障的，则应提供相应的备用设备以保证甲方的正常使用，因乙方工作延误，造成甲方损失的，乙方应负赔偿责任。在质量保证期内出现属设备质量问题，甲方则有权要求免费更换整机，更换的质量保证期从更换之日起相应顺延。</w:t>
      </w:r>
    </w:p>
    <w:p>
      <w:pPr>
        <w:spacing w:line="300" w:lineRule="auto"/>
        <w:ind w:firstLine="420" w:firstLineChars="200"/>
        <w:rPr>
          <w:rFonts w:ascii="宋体" w:hAnsi="宋体"/>
          <w:bCs/>
          <w:szCs w:val="21"/>
        </w:rPr>
      </w:pPr>
      <w:r>
        <w:rPr>
          <w:rFonts w:hint="eastAsia" w:ascii="宋体" w:hAnsi="宋体"/>
          <w:bCs/>
          <w:szCs w:val="21"/>
        </w:rPr>
        <w:t>5、培训要求：</w:t>
      </w:r>
    </w:p>
    <w:p>
      <w:pPr>
        <w:spacing w:line="300" w:lineRule="auto"/>
        <w:ind w:firstLine="420" w:firstLineChars="200"/>
        <w:rPr>
          <w:rFonts w:ascii="宋体" w:hAnsi="宋体"/>
          <w:bCs/>
          <w:szCs w:val="21"/>
        </w:rPr>
      </w:pPr>
      <w:r>
        <w:rPr>
          <w:rFonts w:hint="eastAsia" w:ascii="宋体" w:hAnsi="宋体"/>
          <w:bCs/>
          <w:szCs w:val="21"/>
        </w:rPr>
        <w:t xml:space="preserve">（1）在系统实施完成后，根据甲方要求，乙方免费提供不同设备或系统相关的业务培训，乙方须向甲方提供详细的人员培训方案。 </w:t>
      </w:r>
    </w:p>
    <w:p>
      <w:pPr>
        <w:spacing w:line="300" w:lineRule="auto"/>
        <w:ind w:firstLine="420" w:firstLineChars="200"/>
        <w:rPr>
          <w:rFonts w:ascii="宋体" w:hAnsi="宋体"/>
          <w:bCs/>
          <w:szCs w:val="21"/>
        </w:rPr>
      </w:pPr>
      <w:r>
        <w:rPr>
          <w:rFonts w:hint="eastAsia" w:ascii="宋体" w:hAnsi="宋体"/>
          <w:bCs/>
          <w:szCs w:val="21"/>
        </w:rPr>
        <w:t xml:space="preserve">（2）免费对甲方的管理人员、应用使用人员进行集中培训，确保参与培训人员，能够理解系统原理、系统功能，熟练掌握系统操作流程、常用功能等应用，能熟练掌握硬件设备的安装、使用，能掌握硬件设备运维技巧。 </w:t>
      </w:r>
    </w:p>
    <w:p>
      <w:pPr>
        <w:spacing w:line="300" w:lineRule="auto"/>
        <w:ind w:firstLine="420" w:firstLineChars="200"/>
        <w:rPr>
          <w:rFonts w:ascii="宋体" w:hAnsi="宋体"/>
          <w:bCs/>
          <w:szCs w:val="21"/>
        </w:rPr>
      </w:pPr>
      <w:r>
        <w:rPr>
          <w:rFonts w:hint="eastAsia" w:ascii="宋体" w:hAnsi="宋体"/>
          <w:bCs/>
          <w:szCs w:val="21"/>
        </w:rPr>
        <w:t>（3）培训地点、培训时间和期限由甲方根据需要确定。</w:t>
      </w:r>
    </w:p>
    <w:p>
      <w:pPr>
        <w:spacing w:line="300" w:lineRule="auto"/>
        <w:ind w:firstLine="420" w:firstLineChars="200"/>
        <w:rPr>
          <w:rFonts w:ascii="宋体" w:hAnsi="宋体"/>
          <w:bCs/>
          <w:szCs w:val="21"/>
        </w:rPr>
      </w:pPr>
      <w:r>
        <w:rPr>
          <w:rFonts w:hint="eastAsia" w:ascii="宋体" w:hAnsi="宋体"/>
          <w:bCs/>
          <w:szCs w:val="21"/>
        </w:rPr>
        <w:t>十、违约责任：</w:t>
      </w:r>
    </w:p>
    <w:p>
      <w:pPr>
        <w:spacing w:line="300" w:lineRule="auto"/>
        <w:ind w:firstLine="420" w:firstLineChars="200"/>
        <w:rPr>
          <w:rFonts w:ascii="宋体" w:hAnsi="宋体"/>
          <w:bCs/>
          <w:szCs w:val="21"/>
        </w:rPr>
      </w:pPr>
      <w:r>
        <w:rPr>
          <w:rFonts w:hint="eastAsia" w:ascii="宋体" w:hAnsi="宋体"/>
          <w:bCs/>
          <w:szCs w:val="21"/>
        </w:rPr>
        <w:t>1、若乙方迟延交货，每逾期一日，应按本合同总额千分之一的标准向甲方支付违约金（延迟交货的违约金计算至乙方实际交货之日止，最高不超过本合同总额的3%）；若乙方逾期交货超过   日，甲方有权立即单方解除合同，不向乙方支付任何费用并要求乙方按本合同总额20%的标准向甲方支付违约金，若甲方遭受的实际损失超过本合同约定违约金数额，上述违约金以甲方实际损失额为准。</w:t>
      </w:r>
    </w:p>
    <w:p>
      <w:pPr>
        <w:spacing w:line="300" w:lineRule="auto"/>
        <w:ind w:firstLine="420" w:firstLineChars="200"/>
        <w:rPr>
          <w:rFonts w:ascii="宋体" w:hAnsi="宋体"/>
          <w:bCs/>
          <w:szCs w:val="21"/>
        </w:rPr>
      </w:pPr>
      <w:r>
        <w:rPr>
          <w:rFonts w:hint="eastAsia" w:ascii="宋体" w:hAnsi="宋体"/>
          <w:bCs/>
          <w:szCs w:val="21"/>
        </w:rPr>
        <w:t>2、</w:t>
      </w:r>
      <w:r>
        <w:rPr>
          <w:rFonts w:ascii="宋体" w:hAnsi="宋体"/>
          <w:bCs/>
          <w:szCs w:val="21"/>
        </w:rPr>
        <w:t>任何一方违反本合同所规定的保密义务，违约方应当支付本合同总金额的 30 %作为违约金。如果包括利润在内的实际损失超过违约金的，受损失一方有权要求对方赔偿超过部分。</w:t>
      </w:r>
    </w:p>
    <w:p>
      <w:pPr>
        <w:spacing w:line="300" w:lineRule="auto"/>
        <w:ind w:firstLine="420" w:firstLineChars="200"/>
        <w:rPr>
          <w:rFonts w:ascii="宋体" w:hAnsi="宋体"/>
          <w:bCs/>
          <w:szCs w:val="21"/>
        </w:rPr>
      </w:pPr>
      <w:r>
        <w:rPr>
          <w:rFonts w:hint="eastAsia" w:ascii="宋体" w:hAnsi="宋体"/>
          <w:bCs/>
          <w:szCs w:val="21"/>
        </w:rPr>
        <w:t>十一、</w:t>
      </w:r>
      <w:r>
        <w:rPr>
          <w:rFonts w:ascii="宋体" w:hAnsi="宋体"/>
          <w:bCs/>
          <w:szCs w:val="21"/>
        </w:rPr>
        <w:t>保密</w:t>
      </w:r>
    </w:p>
    <w:p>
      <w:pPr>
        <w:spacing w:line="300" w:lineRule="auto"/>
        <w:ind w:firstLine="420" w:firstLineChars="200"/>
        <w:rPr>
          <w:rFonts w:ascii="宋体" w:hAnsi="宋体"/>
          <w:bCs/>
          <w:szCs w:val="21"/>
        </w:rPr>
      </w:pPr>
      <w:r>
        <w:rPr>
          <w:rFonts w:hint="eastAsia" w:ascii="宋体" w:hAnsi="宋体"/>
          <w:bCs/>
          <w:szCs w:val="21"/>
        </w:rPr>
        <w:t>1、</w:t>
      </w:r>
      <w:r>
        <w:rPr>
          <w:rFonts w:ascii="宋体" w:hAnsi="宋体"/>
          <w:bCs/>
          <w:szCs w:val="21"/>
        </w:rPr>
        <w:t>信息传递</w:t>
      </w:r>
    </w:p>
    <w:p>
      <w:pPr>
        <w:spacing w:line="300" w:lineRule="auto"/>
        <w:ind w:firstLine="420" w:firstLineChars="200"/>
        <w:rPr>
          <w:rFonts w:ascii="宋体" w:hAnsi="宋体"/>
          <w:bCs/>
          <w:szCs w:val="21"/>
        </w:rPr>
      </w:pPr>
      <w:r>
        <w:rPr>
          <w:rFonts w:ascii="宋体" w:hAnsi="宋体"/>
          <w:bCs/>
          <w:szCs w:val="21"/>
        </w:rPr>
        <w:t>在本合同的履行期内，任何一方可以获得与本项目相关的对方的商业秘密，对此双方皆应谨慎地进行披露和接受。</w:t>
      </w:r>
    </w:p>
    <w:p>
      <w:pPr>
        <w:spacing w:line="300" w:lineRule="auto"/>
        <w:ind w:firstLine="420" w:firstLineChars="200"/>
        <w:rPr>
          <w:rFonts w:ascii="宋体" w:hAnsi="宋体"/>
          <w:bCs/>
          <w:szCs w:val="21"/>
        </w:rPr>
      </w:pPr>
      <w:r>
        <w:rPr>
          <w:rFonts w:hint="eastAsia" w:ascii="宋体" w:hAnsi="宋体"/>
          <w:bCs/>
          <w:szCs w:val="21"/>
        </w:rPr>
        <w:t>2、</w:t>
      </w:r>
      <w:r>
        <w:rPr>
          <w:rFonts w:ascii="宋体" w:hAnsi="宋体"/>
          <w:bCs/>
          <w:szCs w:val="21"/>
        </w:rPr>
        <w:t>保密</w:t>
      </w:r>
    </w:p>
    <w:p>
      <w:pPr>
        <w:spacing w:line="300" w:lineRule="auto"/>
        <w:ind w:firstLine="420" w:firstLineChars="200"/>
        <w:rPr>
          <w:rFonts w:ascii="宋体" w:hAnsi="宋体"/>
          <w:bCs/>
          <w:szCs w:val="21"/>
        </w:rPr>
      </w:pPr>
      <w:r>
        <w:rPr>
          <w:rFonts w:ascii="宋体" w:hAnsi="宋体"/>
          <w:bCs/>
          <w:szCs w:val="21"/>
        </w:rPr>
        <w:t>获取对方商业秘密的一方仅可以将该商业秘密用于履行其在本合同项下的义务，且只能由相关的工程技术人员使用。获取对方商业秘密的一方应当采取适当有效的方式保护所获取的商业秘密，以防止商业秘密未经授权而被使用、传播或公开。除非对方书面许可，或该系统已被拥有方认为不再是商业秘密，或已在社会上公开，该商业秘密在10年内不得对外透露。</w:t>
      </w:r>
    </w:p>
    <w:p>
      <w:pPr>
        <w:spacing w:line="300" w:lineRule="auto"/>
        <w:ind w:firstLine="420" w:firstLineChars="200"/>
        <w:rPr>
          <w:rFonts w:ascii="宋体" w:hAnsi="宋体"/>
          <w:bCs/>
          <w:szCs w:val="21"/>
        </w:rPr>
      </w:pPr>
      <w:r>
        <w:rPr>
          <w:rFonts w:ascii="宋体" w:hAnsi="宋体"/>
          <w:bCs/>
          <w:szCs w:val="21"/>
        </w:rPr>
        <w:t>十二</w:t>
      </w:r>
      <w:r>
        <w:rPr>
          <w:rFonts w:hint="eastAsia" w:ascii="宋体" w:hAnsi="宋体"/>
          <w:bCs/>
          <w:szCs w:val="21"/>
        </w:rPr>
        <w:t>、不可抗力</w:t>
      </w:r>
    </w:p>
    <w:p>
      <w:pPr>
        <w:spacing w:line="300" w:lineRule="auto"/>
        <w:ind w:firstLine="420" w:firstLineChars="200"/>
        <w:rPr>
          <w:rFonts w:ascii="宋体" w:hAnsi="宋体"/>
          <w:bCs/>
          <w:szCs w:val="21"/>
        </w:rPr>
      </w:pPr>
      <w:r>
        <w:rPr>
          <w:rFonts w:hint="eastAsia" w:ascii="宋体" w:hAnsi="宋体"/>
          <w:bCs/>
          <w:szCs w:val="21"/>
        </w:rPr>
        <w:t>1、由于地震、台风、水灾、火灾、战争以及其他不能预见并对其发生和后果不能预防、不能克服或避免的不可抗力直接影响本合同的履行或者导致双方不能按照约定履行合同，遇有不可抗力的一方可以免除相关合同责任。但是遇有不可抗力的一方应立即书面通知对方，并在十五天之内提供上述不可抗力的详细情况及合同不能履行或者部分不能履行或者需要延期履行的理由和有效的证明文件。按照不可抗力对履行合同影响的程度，由双方协商决定是否解除合同，或者部分免除履行合同的义务，或者延期履行合同。一方迟延履行本合同时发生了不可抗力的，迟延方的合同义务不能免除。</w:t>
      </w:r>
    </w:p>
    <w:p>
      <w:pPr>
        <w:spacing w:line="300" w:lineRule="auto"/>
        <w:ind w:firstLine="420" w:firstLineChars="200"/>
        <w:rPr>
          <w:rFonts w:ascii="宋体" w:hAnsi="宋体"/>
          <w:bCs/>
          <w:szCs w:val="21"/>
        </w:rPr>
      </w:pPr>
      <w:r>
        <w:rPr>
          <w:rFonts w:hint="eastAsia" w:ascii="宋体" w:hAnsi="宋体"/>
          <w:bCs/>
          <w:szCs w:val="21"/>
        </w:rPr>
        <w:t>2、受不可抗力影响的一方，应当尽可能采取合理的行为和适当的措施减轻不可抗力对履行本合同所造成的影响。没有采取适当措施致使损失扩大的，该方不得就扩大损失的部分要求免责或赔偿。</w:t>
      </w:r>
    </w:p>
    <w:p>
      <w:pPr>
        <w:spacing w:line="300" w:lineRule="auto"/>
        <w:ind w:firstLine="420" w:firstLineChars="200"/>
        <w:rPr>
          <w:rFonts w:ascii="宋体" w:hAnsi="宋体"/>
          <w:bCs/>
          <w:szCs w:val="21"/>
        </w:rPr>
      </w:pPr>
      <w:r>
        <w:rPr>
          <w:rFonts w:hint="eastAsia" w:ascii="宋体" w:hAnsi="宋体"/>
          <w:bCs/>
          <w:szCs w:val="21"/>
        </w:rPr>
        <w:t>十三、争议解决：</w:t>
      </w:r>
    </w:p>
    <w:p>
      <w:pPr>
        <w:spacing w:line="300" w:lineRule="auto"/>
        <w:ind w:firstLine="420" w:firstLineChars="200"/>
        <w:rPr>
          <w:rFonts w:ascii="宋体" w:hAnsi="宋体"/>
          <w:bCs/>
          <w:szCs w:val="21"/>
        </w:rPr>
      </w:pPr>
      <w:r>
        <w:rPr>
          <w:rFonts w:ascii="宋体" w:hAnsi="宋体"/>
          <w:bCs/>
          <w:szCs w:val="21"/>
        </w:rPr>
        <w:t>1</w:t>
      </w:r>
      <w:r>
        <w:rPr>
          <w:rFonts w:hint="eastAsia" w:ascii="宋体" w:hAnsi="宋体"/>
          <w:bCs/>
          <w:szCs w:val="21"/>
        </w:rPr>
        <w:t>、本合同附件及招投标文件是该合同有效部分，具有同等法律效力。</w:t>
      </w:r>
    </w:p>
    <w:p>
      <w:pPr>
        <w:spacing w:line="300" w:lineRule="auto"/>
        <w:ind w:firstLine="420" w:firstLineChars="200"/>
        <w:rPr>
          <w:rFonts w:ascii="宋体" w:hAnsi="宋体"/>
          <w:bCs/>
          <w:szCs w:val="21"/>
        </w:rPr>
      </w:pPr>
      <w:r>
        <w:rPr>
          <w:rFonts w:ascii="宋体" w:hAnsi="宋体"/>
          <w:bCs/>
          <w:szCs w:val="21"/>
        </w:rPr>
        <w:t>2</w:t>
      </w:r>
      <w:r>
        <w:rPr>
          <w:rFonts w:hint="eastAsia" w:ascii="宋体" w:hAnsi="宋体"/>
          <w:bCs/>
          <w:szCs w:val="21"/>
        </w:rPr>
        <w:t>、未尽事宜，协商解决；如有争议，甲方双方任何一方均有权向法院提起诉讼。</w:t>
      </w:r>
    </w:p>
    <w:p>
      <w:pPr>
        <w:spacing w:line="300" w:lineRule="auto"/>
        <w:ind w:firstLine="420" w:firstLineChars="200"/>
        <w:rPr>
          <w:rFonts w:ascii="宋体" w:hAnsi="宋体"/>
          <w:bCs/>
          <w:szCs w:val="21"/>
        </w:rPr>
      </w:pPr>
      <w:r>
        <w:rPr>
          <w:rFonts w:hint="eastAsia" w:ascii="宋体" w:hAnsi="宋体"/>
          <w:bCs/>
          <w:szCs w:val="21"/>
        </w:rPr>
        <w:t>十四、合同的生效、变更与终止</w:t>
      </w:r>
    </w:p>
    <w:p>
      <w:pPr>
        <w:spacing w:line="300" w:lineRule="auto"/>
        <w:ind w:firstLine="420" w:firstLineChars="200"/>
        <w:rPr>
          <w:rFonts w:ascii="宋体" w:hAnsi="宋体"/>
          <w:bCs/>
          <w:szCs w:val="21"/>
        </w:rPr>
      </w:pPr>
      <w:r>
        <w:rPr>
          <w:rFonts w:hint="eastAsia" w:ascii="宋体" w:hAnsi="宋体"/>
          <w:bCs/>
          <w:szCs w:val="21"/>
        </w:rPr>
        <w:t>1、本合同经双方各自授权代表签字并盖公章（合同章）后生效。</w:t>
      </w:r>
    </w:p>
    <w:p>
      <w:pPr>
        <w:spacing w:line="300" w:lineRule="auto"/>
        <w:ind w:firstLine="420" w:firstLineChars="200"/>
        <w:rPr>
          <w:rFonts w:ascii="宋体" w:hAnsi="宋体"/>
          <w:bCs/>
          <w:szCs w:val="21"/>
        </w:rPr>
      </w:pPr>
      <w:r>
        <w:rPr>
          <w:rFonts w:hint="eastAsia" w:ascii="宋体" w:hAnsi="宋体"/>
          <w:bCs/>
          <w:szCs w:val="21"/>
        </w:rPr>
        <w:t>2、如果发生以下情况，任何一方有权终止合同，但是须以书面方式通知对方。</w:t>
      </w:r>
    </w:p>
    <w:p>
      <w:pPr>
        <w:spacing w:line="300" w:lineRule="auto"/>
        <w:ind w:firstLine="420" w:firstLineChars="200"/>
        <w:rPr>
          <w:rFonts w:ascii="宋体" w:hAnsi="宋体"/>
          <w:bCs/>
          <w:szCs w:val="21"/>
        </w:rPr>
      </w:pPr>
      <w:r>
        <w:rPr>
          <w:rFonts w:hint="eastAsia" w:ascii="宋体" w:hAnsi="宋体"/>
          <w:bCs/>
          <w:szCs w:val="21"/>
        </w:rPr>
        <w:t>（1）一方进入破产、解散、被依法关闭、撤销或已进入清算阶段；</w:t>
      </w:r>
    </w:p>
    <w:p>
      <w:pPr>
        <w:spacing w:line="300" w:lineRule="auto"/>
        <w:ind w:firstLine="420" w:firstLineChars="200"/>
        <w:rPr>
          <w:rFonts w:ascii="宋体" w:hAnsi="宋体"/>
          <w:bCs/>
          <w:szCs w:val="21"/>
        </w:rPr>
      </w:pPr>
      <w:r>
        <w:rPr>
          <w:rFonts w:hint="eastAsia" w:ascii="宋体" w:hAnsi="宋体"/>
          <w:bCs/>
          <w:szCs w:val="21"/>
        </w:rPr>
        <w:t>（2）出现了合同规定的或法定解除事由。</w:t>
      </w:r>
    </w:p>
    <w:p>
      <w:pPr>
        <w:spacing w:line="300" w:lineRule="auto"/>
        <w:ind w:firstLine="420" w:firstLineChars="200"/>
        <w:rPr>
          <w:rFonts w:ascii="宋体" w:hAnsi="宋体"/>
          <w:bCs/>
          <w:szCs w:val="21"/>
        </w:rPr>
      </w:pPr>
      <w:r>
        <w:rPr>
          <w:rFonts w:hint="eastAsia" w:ascii="宋体" w:hAnsi="宋体"/>
          <w:bCs/>
          <w:szCs w:val="21"/>
        </w:rPr>
        <w:t>除本合同和法律法规另有规定外，任何一方发生上述情况，将被视作违约，另一方有权依照本合同的规定，追究该方的违约责任。</w:t>
      </w:r>
    </w:p>
    <w:p>
      <w:pPr>
        <w:spacing w:line="300" w:lineRule="auto"/>
        <w:ind w:firstLine="420" w:firstLineChars="200"/>
        <w:rPr>
          <w:rFonts w:ascii="宋体" w:hAnsi="宋体"/>
          <w:bCs/>
          <w:szCs w:val="21"/>
        </w:rPr>
      </w:pPr>
      <w:r>
        <w:rPr>
          <w:rFonts w:hint="eastAsia" w:ascii="宋体" w:hAnsi="宋体"/>
          <w:bCs/>
          <w:szCs w:val="21"/>
        </w:rPr>
        <w:t>3、本合同于双方各自履行了合同的全部义务，包括本合同中系统的保修期结束和甲方付清全部合同款后终止。</w:t>
      </w:r>
    </w:p>
    <w:p>
      <w:pPr>
        <w:spacing w:line="300" w:lineRule="auto"/>
        <w:ind w:firstLine="420" w:firstLineChars="200"/>
        <w:rPr>
          <w:rFonts w:ascii="宋体" w:hAnsi="宋体"/>
          <w:bCs/>
          <w:szCs w:val="21"/>
        </w:rPr>
      </w:pPr>
      <w:r>
        <w:rPr>
          <w:rFonts w:hint="eastAsia" w:ascii="宋体" w:hAnsi="宋体"/>
          <w:bCs/>
          <w:szCs w:val="21"/>
        </w:rPr>
        <w:t>4、合同一经签署，未经双方同意，任何一方不得随意更改本合同。本合同所列的附件，经双方签字或盖章后为本合同的组成部分。其它任何口头或未包含在本合同内的或未依据本合同制定的书面文件均不对双方发生约束力。如本合同在履行过程中有任何变更、补充或修改，双方应另行签订书面协议。</w:t>
      </w:r>
    </w:p>
    <w:p>
      <w:pPr>
        <w:spacing w:line="300" w:lineRule="auto"/>
        <w:ind w:firstLine="420" w:firstLineChars="200"/>
        <w:rPr>
          <w:rFonts w:ascii="宋体" w:hAnsi="宋体"/>
          <w:bCs/>
          <w:szCs w:val="21"/>
        </w:rPr>
      </w:pPr>
      <w:r>
        <w:rPr>
          <w:rFonts w:hint="eastAsia" w:ascii="宋体" w:hAnsi="宋体"/>
          <w:bCs/>
          <w:szCs w:val="21"/>
        </w:rPr>
        <w:t>5、本合同一式六份，甲方执五份，乙方执一份，双方签字或盖章后生效。</w:t>
      </w:r>
    </w:p>
    <w:p>
      <w:pPr>
        <w:spacing w:line="300" w:lineRule="auto"/>
        <w:ind w:firstLine="420" w:firstLineChars="200"/>
        <w:rPr>
          <w:rFonts w:ascii="宋体" w:hAnsi="宋体"/>
          <w:bCs/>
          <w:szCs w:val="21"/>
        </w:rPr>
      </w:pPr>
      <w:r>
        <w:rPr>
          <w:rFonts w:hint="eastAsia" w:ascii="宋体" w:hAnsi="宋体"/>
          <w:bCs/>
          <w:szCs w:val="21"/>
        </w:rPr>
        <w:t>甲方（盖章）：                           乙方（盖章）：</w:t>
      </w:r>
    </w:p>
    <w:p>
      <w:pPr>
        <w:spacing w:line="300" w:lineRule="auto"/>
        <w:ind w:firstLine="420" w:firstLineChars="200"/>
        <w:rPr>
          <w:rFonts w:ascii="宋体" w:hAnsi="宋体"/>
          <w:bCs/>
          <w:szCs w:val="21"/>
        </w:rPr>
      </w:pPr>
      <w:r>
        <w:rPr>
          <w:rFonts w:hint="eastAsia" w:ascii="宋体" w:hAnsi="宋体"/>
          <w:bCs/>
          <w:szCs w:val="21"/>
        </w:rPr>
        <w:t>地址：                                  地址：</w:t>
      </w:r>
    </w:p>
    <w:p>
      <w:pPr>
        <w:spacing w:line="300" w:lineRule="auto"/>
        <w:ind w:firstLine="420" w:firstLineChars="200"/>
        <w:rPr>
          <w:rFonts w:ascii="宋体" w:hAnsi="宋体"/>
          <w:bCs/>
          <w:szCs w:val="21"/>
        </w:rPr>
      </w:pPr>
      <w:r>
        <w:rPr>
          <w:rFonts w:hint="eastAsia" w:ascii="宋体" w:hAnsi="宋体"/>
          <w:bCs/>
          <w:szCs w:val="21"/>
        </w:rPr>
        <w:t>承办单位代表：                          授权代表：</w:t>
      </w:r>
    </w:p>
    <w:p>
      <w:pPr>
        <w:spacing w:line="300" w:lineRule="auto"/>
        <w:ind w:firstLine="420" w:firstLineChars="200"/>
        <w:rPr>
          <w:rFonts w:ascii="宋体" w:hAnsi="宋体"/>
          <w:bCs/>
          <w:szCs w:val="21"/>
        </w:rPr>
      </w:pPr>
      <w:r>
        <w:rPr>
          <w:rFonts w:hint="eastAsia" w:ascii="宋体" w:hAnsi="宋体"/>
          <w:bCs/>
          <w:szCs w:val="21"/>
        </w:rPr>
        <w:t>联系电话：                              联系电话：</w:t>
      </w:r>
    </w:p>
    <w:p>
      <w:pPr>
        <w:spacing w:line="300" w:lineRule="auto"/>
        <w:ind w:firstLine="420" w:firstLineChars="200"/>
        <w:rPr>
          <w:rFonts w:ascii="宋体" w:hAnsi="宋体"/>
          <w:bCs/>
          <w:szCs w:val="21"/>
        </w:rPr>
      </w:pPr>
      <w:r>
        <w:rPr>
          <w:rFonts w:hint="eastAsia" w:ascii="宋体" w:hAnsi="宋体"/>
          <w:bCs/>
          <w:szCs w:val="21"/>
        </w:rPr>
        <w:t>业务管理单位代表：</w:t>
      </w:r>
    </w:p>
    <w:p>
      <w:pPr>
        <w:spacing w:line="300" w:lineRule="auto"/>
        <w:ind w:firstLine="420" w:firstLineChars="200"/>
        <w:rPr>
          <w:rFonts w:ascii="宋体" w:hAnsi="宋体"/>
          <w:bCs/>
          <w:szCs w:val="21"/>
        </w:rPr>
      </w:pPr>
      <w:r>
        <w:rPr>
          <w:rFonts w:hint="eastAsia" w:ascii="宋体" w:hAnsi="宋体"/>
          <w:bCs/>
          <w:szCs w:val="21"/>
        </w:rPr>
        <w:t>清单附件：</w:t>
      </w:r>
    </w:p>
    <w:p>
      <w:pPr>
        <w:spacing w:line="460" w:lineRule="exact"/>
        <w:ind w:firstLine="422" w:firstLineChars="200"/>
        <w:jc w:val="center"/>
        <w:rPr>
          <w:rFonts w:ascii="宋体" w:hAnsi="宋体" w:cs="宋体"/>
          <w:b/>
          <w:bCs/>
          <w:szCs w:val="21"/>
        </w:rPr>
      </w:pPr>
      <w:r>
        <w:rPr>
          <w:rFonts w:hint="eastAsia" w:ascii="宋体" w:hAnsi="宋体" w:cs="宋体"/>
          <w:b/>
          <w:szCs w:val="21"/>
        </w:rPr>
        <w:t>订货</w:t>
      </w:r>
      <w:r>
        <w:rPr>
          <w:rFonts w:hint="eastAsia" w:ascii="宋体" w:hAnsi="宋体" w:cs="宋体"/>
          <w:b/>
          <w:bCs/>
          <w:szCs w:val="21"/>
        </w:rPr>
        <w:t>清单</w:t>
      </w:r>
    </w:p>
    <w:tbl>
      <w:tblPr>
        <w:tblStyle w:val="13"/>
        <w:tblW w:w="10206" w:type="dxa"/>
        <w:tblInd w:w="-537" w:type="dxa"/>
        <w:tblLayout w:type="fixed"/>
        <w:tblCellMar>
          <w:top w:w="0" w:type="dxa"/>
          <w:left w:w="0" w:type="dxa"/>
          <w:bottom w:w="0" w:type="dxa"/>
          <w:right w:w="0" w:type="dxa"/>
        </w:tblCellMar>
      </w:tblPr>
      <w:tblGrid>
        <w:gridCol w:w="570"/>
        <w:gridCol w:w="1161"/>
        <w:gridCol w:w="1560"/>
        <w:gridCol w:w="1701"/>
        <w:gridCol w:w="567"/>
        <w:gridCol w:w="567"/>
        <w:gridCol w:w="1275"/>
        <w:gridCol w:w="1246"/>
        <w:gridCol w:w="710"/>
        <w:gridCol w:w="849"/>
      </w:tblGrid>
      <w:tr>
        <w:tblPrEx>
          <w:tblLayout w:type="fixed"/>
          <w:tblCellMar>
            <w:top w:w="0" w:type="dxa"/>
            <w:left w:w="0" w:type="dxa"/>
            <w:bottom w:w="0" w:type="dxa"/>
            <w:right w:w="0" w:type="dxa"/>
          </w:tblCellMar>
        </w:tblPrEx>
        <w:trPr>
          <w:trHeight w:val="421" w:hRule="atLeast"/>
        </w:trPr>
        <w:tc>
          <w:tcPr>
            <w:tcW w:w="570" w:type="dxa"/>
            <w:tcBorders>
              <w:top w:val="single" w:color="000000" w:sz="6" w:space="0"/>
              <w:left w:val="single" w:color="000000" w:sz="6" w:space="0"/>
              <w:bottom w:val="single" w:color="000000" w:sz="6" w:space="0"/>
              <w:right w:val="single" w:color="000000" w:sz="6" w:space="0"/>
            </w:tcBorders>
            <w:tcMar>
              <w:top w:w="30" w:type="dxa"/>
              <w:left w:w="30" w:type="dxa"/>
              <w:bottom w:w="30" w:type="dxa"/>
              <w:right w:w="30" w:type="dxa"/>
            </w:tcMar>
            <w:vAlign w:val="center"/>
          </w:tcPr>
          <w:p>
            <w:pPr>
              <w:spacing w:line="460" w:lineRule="exact"/>
              <w:rPr>
                <w:rFonts w:ascii="宋体" w:hAnsi="宋体" w:cs="宋体"/>
                <w:szCs w:val="21"/>
              </w:rPr>
            </w:pPr>
            <w:r>
              <w:rPr>
                <w:rFonts w:hint="eastAsia" w:ascii="宋体" w:hAnsi="宋体" w:cs="宋体"/>
                <w:szCs w:val="21"/>
              </w:rPr>
              <w:t>序号</w:t>
            </w:r>
          </w:p>
        </w:tc>
        <w:tc>
          <w:tcPr>
            <w:tcW w:w="1161" w:type="dxa"/>
            <w:tcBorders>
              <w:top w:val="single" w:color="000000" w:sz="6" w:space="0"/>
              <w:left w:val="single" w:color="000000" w:sz="6" w:space="0"/>
              <w:bottom w:val="single" w:color="000000" w:sz="6" w:space="0"/>
              <w:right w:val="single" w:color="000000" w:sz="6" w:space="0"/>
            </w:tcBorders>
            <w:tcMar>
              <w:top w:w="30" w:type="dxa"/>
              <w:left w:w="30" w:type="dxa"/>
              <w:bottom w:w="30" w:type="dxa"/>
              <w:right w:w="30" w:type="dxa"/>
            </w:tcMar>
            <w:vAlign w:val="center"/>
          </w:tcPr>
          <w:p>
            <w:pPr>
              <w:spacing w:line="460" w:lineRule="exact"/>
              <w:rPr>
                <w:rFonts w:ascii="宋体" w:hAnsi="宋体" w:cs="宋体"/>
                <w:szCs w:val="21"/>
              </w:rPr>
            </w:pPr>
            <w:r>
              <w:rPr>
                <w:rFonts w:hint="eastAsia" w:ascii="宋体" w:hAnsi="宋体" w:cs="宋体"/>
                <w:szCs w:val="21"/>
              </w:rPr>
              <w:t>货物名称</w:t>
            </w:r>
          </w:p>
        </w:tc>
        <w:tc>
          <w:tcPr>
            <w:tcW w:w="1560" w:type="dxa"/>
            <w:tcBorders>
              <w:top w:val="single" w:color="000000" w:sz="6" w:space="0"/>
              <w:left w:val="single" w:color="000000" w:sz="6" w:space="0"/>
              <w:bottom w:val="single" w:color="000000" w:sz="6" w:space="0"/>
              <w:right w:val="single" w:color="auto" w:sz="4" w:space="0"/>
            </w:tcBorders>
            <w:tcMar>
              <w:top w:w="30" w:type="dxa"/>
              <w:left w:w="30" w:type="dxa"/>
              <w:bottom w:w="30" w:type="dxa"/>
              <w:right w:w="30" w:type="dxa"/>
            </w:tcMar>
            <w:vAlign w:val="center"/>
          </w:tcPr>
          <w:p>
            <w:pPr>
              <w:spacing w:line="460" w:lineRule="exact"/>
              <w:rPr>
                <w:rFonts w:ascii="宋体" w:hAnsi="宋体" w:cs="宋体"/>
                <w:szCs w:val="21"/>
              </w:rPr>
            </w:pPr>
            <w:r>
              <w:rPr>
                <w:rFonts w:hint="eastAsia" w:ascii="宋体" w:hAnsi="宋体" w:cs="宋体"/>
                <w:szCs w:val="21"/>
              </w:rPr>
              <w:t>品牌型号规格</w:t>
            </w:r>
          </w:p>
        </w:tc>
        <w:tc>
          <w:tcPr>
            <w:tcW w:w="1701" w:type="dxa"/>
            <w:tcBorders>
              <w:top w:val="single" w:color="000000" w:sz="6" w:space="0"/>
              <w:left w:val="single" w:color="auto" w:sz="4" w:space="0"/>
              <w:bottom w:val="single" w:color="000000" w:sz="6" w:space="0"/>
              <w:right w:val="single" w:color="000000" w:sz="2" w:space="0"/>
            </w:tcBorders>
            <w:vAlign w:val="center"/>
          </w:tcPr>
          <w:p>
            <w:pPr>
              <w:spacing w:line="460" w:lineRule="exact"/>
              <w:rPr>
                <w:rFonts w:ascii="宋体" w:hAnsi="宋体" w:cs="宋体"/>
                <w:szCs w:val="21"/>
              </w:rPr>
            </w:pPr>
            <w:r>
              <w:rPr>
                <w:rFonts w:hint="eastAsia" w:ascii="宋体" w:hAnsi="宋体" w:cs="宋体"/>
                <w:szCs w:val="21"/>
              </w:rPr>
              <w:t>技术参数和要求</w:t>
            </w:r>
          </w:p>
        </w:tc>
        <w:tc>
          <w:tcPr>
            <w:tcW w:w="567" w:type="dxa"/>
            <w:tcBorders>
              <w:top w:val="single" w:color="000000" w:sz="6" w:space="0"/>
              <w:left w:val="single" w:color="000000" w:sz="2" w:space="0"/>
              <w:bottom w:val="single" w:color="000000" w:sz="6" w:space="0"/>
              <w:right w:val="single" w:color="auto" w:sz="4" w:space="0"/>
            </w:tcBorders>
            <w:vAlign w:val="center"/>
          </w:tcPr>
          <w:p>
            <w:pPr>
              <w:spacing w:line="460" w:lineRule="exact"/>
              <w:rPr>
                <w:rFonts w:ascii="宋体" w:hAnsi="宋体" w:cs="宋体"/>
                <w:szCs w:val="21"/>
              </w:rPr>
            </w:pPr>
            <w:r>
              <w:rPr>
                <w:rFonts w:hint="eastAsia" w:ascii="宋体" w:hAnsi="宋体" w:cs="宋体"/>
                <w:szCs w:val="21"/>
              </w:rPr>
              <w:t>单位</w:t>
            </w:r>
          </w:p>
        </w:tc>
        <w:tc>
          <w:tcPr>
            <w:tcW w:w="567" w:type="dxa"/>
            <w:tcBorders>
              <w:top w:val="single" w:color="000000" w:sz="6" w:space="0"/>
              <w:left w:val="single" w:color="auto" w:sz="4" w:space="0"/>
              <w:bottom w:val="single" w:color="000000" w:sz="6" w:space="0"/>
              <w:right w:val="single" w:color="000000" w:sz="6" w:space="0"/>
            </w:tcBorders>
            <w:vAlign w:val="center"/>
          </w:tcPr>
          <w:p>
            <w:pPr>
              <w:spacing w:line="460" w:lineRule="exact"/>
              <w:rPr>
                <w:rFonts w:ascii="宋体" w:hAnsi="宋体" w:cs="宋体"/>
                <w:szCs w:val="21"/>
              </w:rPr>
            </w:pPr>
            <w:r>
              <w:rPr>
                <w:rFonts w:hint="eastAsia" w:ascii="宋体" w:hAnsi="宋体" w:cs="宋体"/>
                <w:szCs w:val="21"/>
              </w:rPr>
              <w:t>数量</w:t>
            </w:r>
          </w:p>
        </w:tc>
        <w:tc>
          <w:tcPr>
            <w:tcW w:w="1275" w:type="dxa"/>
            <w:tcBorders>
              <w:top w:val="single" w:color="000000" w:sz="6" w:space="0"/>
              <w:left w:val="single" w:color="000000" w:sz="6" w:space="0"/>
              <w:bottom w:val="single" w:color="000000" w:sz="6" w:space="0"/>
              <w:right w:val="single" w:color="000000" w:sz="6" w:space="0"/>
            </w:tcBorders>
            <w:tcMar>
              <w:top w:w="30" w:type="dxa"/>
              <w:left w:w="30" w:type="dxa"/>
              <w:bottom w:w="30" w:type="dxa"/>
              <w:right w:w="30" w:type="dxa"/>
            </w:tcMar>
            <w:vAlign w:val="center"/>
          </w:tcPr>
          <w:p>
            <w:pPr>
              <w:spacing w:line="460" w:lineRule="exact"/>
              <w:rPr>
                <w:rFonts w:ascii="宋体" w:hAnsi="宋体" w:cs="宋体"/>
                <w:szCs w:val="21"/>
              </w:rPr>
            </w:pPr>
            <w:r>
              <w:rPr>
                <w:rFonts w:hint="eastAsia" w:ascii="宋体" w:hAnsi="宋体" w:cs="宋体"/>
                <w:szCs w:val="21"/>
              </w:rPr>
              <w:t>单价（元）</w:t>
            </w:r>
          </w:p>
        </w:tc>
        <w:tc>
          <w:tcPr>
            <w:tcW w:w="1246" w:type="dxa"/>
            <w:tcBorders>
              <w:top w:val="single" w:color="000000" w:sz="6" w:space="0"/>
              <w:left w:val="single" w:color="000000" w:sz="6" w:space="0"/>
              <w:bottom w:val="single" w:color="000000" w:sz="6" w:space="0"/>
              <w:right w:val="single" w:color="000000" w:sz="6" w:space="0"/>
            </w:tcBorders>
            <w:vAlign w:val="center"/>
          </w:tcPr>
          <w:p>
            <w:pPr>
              <w:spacing w:line="460" w:lineRule="exact"/>
              <w:rPr>
                <w:rFonts w:ascii="宋体" w:hAnsi="宋体" w:cs="宋体"/>
                <w:szCs w:val="21"/>
              </w:rPr>
            </w:pPr>
            <w:r>
              <w:rPr>
                <w:rFonts w:hint="eastAsia" w:ascii="宋体" w:hAnsi="宋体" w:cs="宋体"/>
                <w:szCs w:val="21"/>
              </w:rPr>
              <w:t>合价（元）</w:t>
            </w:r>
          </w:p>
        </w:tc>
        <w:tc>
          <w:tcPr>
            <w:tcW w:w="710" w:type="dxa"/>
            <w:tcBorders>
              <w:top w:val="single" w:color="000000" w:sz="6" w:space="0"/>
              <w:left w:val="single" w:color="000000" w:sz="6" w:space="0"/>
              <w:bottom w:val="single" w:color="000000" w:sz="6" w:space="0"/>
              <w:right w:val="single" w:color="auto" w:sz="4" w:space="0"/>
            </w:tcBorders>
            <w:vAlign w:val="center"/>
          </w:tcPr>
          <w:p>
            <w:pPr>
              <w:spacing w:line="460" w:lineRule="exact"/>
              <w:rPr>
                <w:rFonts w:ascii="宋体" w:hAnsi="宋体" w:cs="宋体"/>
                <w:szCs w:val="21"/>
              </w:rPr>
            </w:pPr>
            <w:r>
              <w:rPr>
                <w:rFonts w:ascii="宋体" w:hAnsi="宋体" w:cs="宋体"/>
                <w:szCs w:val="21"/>
              </w:rPr>
              <w:t>质保期</w:t>
            </w:r>
          </w:p>
        </w:tc>
        <w:tc>
          <w:tcPr>
            <w:tcW w:w="849" w:type="dxa"/>
            <w:tcBorders>
              <w:top w:val="single" w:color="000000" w:sz="6" w:space="0"/>
              <w:left w:val="single" w:color="auto" w:sz="4" w:space="0"/>
              <w:bottom w:val="single" w:color="000000" w:sz="6" w:space="0"/>
              <w:right w:val="single" w:color="000000" w:sz="6" w:space="0"/>
            </w:tcBorders>
            <w:vAlign w:val="center"/>
          </w:tcPr>
          <w:p>
            <w:pPr>
              <w:spacing w:line="460" w:lineRule="exact"/>
              <w:rPr>
                <w:rFonts w:ascii="宋体" w:hAnsi="宋体" w:cs="宋体"/>
                <w:szCs w:val="21"/>
              </w:rPr>
            </w:pPr>
            <w:r>
              <w:rPr>
                <w:rFonts w:hint="eastAsia" w:ascii="宋体" w:hAnsi="宋体" w:cs="宋体"/>
                <w:szCs w:val="21"/>
              </w:rPr>
              <w:t>备注</w:t>
            </w:r>
          </w:p>
        </w:tc>
      </w:tr>
      <w:tr>
        <w:tblPrEx>
          <w:tblLayout w:type="fixed"/>
          <w:tblCellMar>
            <w:top w:w="0" w:type="dxa"/>
            <w:left w:w="0" w:type="dxa"/>
            <w:bottom w:w="0" w:type="dxa"/>
            <w:right w:w="0" w:type="dxa"/>
          </w:tblCellMar>
        </w:tblPrEx>
        <w:tc>
          <w:tcPr>
            <w:tcW w:w="570" w:type="dxa"/>
            <w:tcBorders>
              <w:top w:val="single" w:color="000000" w:sz="6" w:space="0"/>
              <w:left w:val="single" w:color="000000" w:sz="6" w:space="0"/>
              <w:bottom w:val="single" w:color="000000" w:sz="6" w:space="0"/>
              <w:right w:val="single" w:color="000000" w:sz="6" w:space="0"/>
            </w:tcBorders>
            <w:tcMar>
              <w:top w:w="30" w:type="dxa"/>
              <w:left w:w="30" w:type="dxa"/>
              <w:bottom w:w="30" w:type="dxa"/>
              <w:right w:w="30" w:type="dxa"/>
            </w:tcMar>
            <w:vAlign w:val="center"/>
          </w:tcPr>
          <w:p>
            <w:pPr>
              <w:spacing w:line="460" w:lineRule="exact"/>
              <w:rPr>
                <w:rFonts w:ascii="宋体" w:hAnsi="宋体" w:cs="宋体"/>
                <w:szCs w:val="21"/>
              </w:rPr>
            </w:pPr>
            <w:r>
              <w:rPr>
                <w:rFonts w:hint="eastAsia" w:ascii="宋体" w:hAnsi="宋体" w:cs="宋体"/>
                <w:szCs w:val="21"/>
              </w:rPr>
              <w:t>1</w:t>
            </w:r>
          </w:p>
        </w:tc>
        <w:tc>
          <w:tcPr>
            <w:tcW w:w="1161" w:type="dxa"/>
            <w:tcBorders>
              <w:top w:val="single" w:color="000000" w:sz="6" w:space="0"/>
              <w:left w:val="single" w:color="000000" w:sz="6" w:space="0"/>
              <w:bottom w:val="single" w:color="000000" w:sz="6" w:space="0"/>
              <w:right w:val="single" w:color="000000" w:sz="6" w:space="0"/>
            </w:tcBorders>
            <w:tcMar>
              <w:top w:w="30" w:type="dxa"/>
              <w:left w:w="30" w:type="dxa"/>
              <w:bottom w:w="30" w:type="dxa"/>
              <w:right w:w="30" w:type="dxa"/>
            </w:tcMar>
            <w:vAlign w:val="center"/>
          </w:tcPr>
          <w:p>
            <w:pPr>
              <w:spacing w:line="460" w:lineRule="exact"/>
              <w:ind w:firstLine="420" w:firstLineChars="200"/>
              <w:rPr>
                <w:rFonts w:ascii="宋体" w:hAnsi="宋体" w:cs="宋体"/>
                <w:szCs w:val="21"/>
              </w:rPr>
            </w:pPr>
          </w:p>
        </w:tc>
        <w:tc>
          <w:tcPr>
            <w:tcW w:w="1560" w:type="dxa"/>
            <w:tcBorders>
              <w:top w:val="single" w:color="000000" w:sz="6" w:space="0"/>
              <w:left w:val="single" w:color="000000" w:sz="6" w:space="0"/>
              <w:bottom w:val="single" w:color="000000" w:sz="6" w:space="0"/>
              <w:right w:val="single" w:color="auto" w:sz="4" w:space="0"/>
            </w:tcBorders>
            <w:tcMar>
              <w:top w:w="30" w:type="dxa"/>
              <w:left w:w="30" w:type="dxa"/>
              <w:bottom w:w="30" w:type="dxa"/>
              <w:right w:w="30" w:type="dxa"/>
            </w:tcMar>
            <w:vAlign w:val="center"/>
          </w:tcPr>
          <w:p>
            <w:pPr>
              <w:spacing w:line="460" w:lineRule="exact"/>
              <w:ind w:firstLine="420" w:firstLineChars="200"/>
              <w:rPr>
                <w:rFonts w:ascii="宋体" w:hAnsi="宋体" w:cs="宋体"/>
                <w:szCs w:val="21"/>
              </w:rPr>
            </w:pPr>
          </w:p>
        </w:tc>
        <w:tc>
          <w:tcPr>
            <w:tcW w:w="1701" w:type="dxa"/>
            <w:tcBorders>
              <w:top w:val="single" w:color="000000" w:sz="6" w:space="0"/>
              <w:left w:val="single" w:color="auto" w:sz="4" w:space="0"/>
              <w:bottom w:val="single" w:color="000000" w:sz="6" w:space="0"/>
              <w:right w:val="single" w:color="000000" w:sz="2" w:space="0"/>
            </w:tcBorders>
            <w:vAlign w:val="center"/>
          </w:tcPr>
          <w:p>
            <w:pPr>
              <w:spacing w:line="460" w:lineRule="exact"/>
              <w:ind w:firstLine="420" w:firstLineChars="200"/>
              <w:rPr>
                <w:rFonts w:ascii="宋体" w:hAnsi="宋体" w:cs="宋体"/>
                <w:szCs w:val="21"/>
              </w:rPr>
            </w:pPr>
          </w:p>
        </w:tc>
        <w:tc>
          <w:tcPr>
            <w:tcW w:w="567" w:type="dxa"/>
            <w:tcBorders>
              <w:top w:val="single" w:color="000000" w:sz="6" w:space="0"/>
              <w:left w:val="single" w:color="000000" w:sz="2" w:space="0"/>
              <w:bottom w:val="single" w:color="000000" w:sz="6" w:space="0"/>
              <w:right w:val="single" w:color="auto" w:sz="4" w:space="0"/>
            </w:tcBorders>
            <w:vAlign w:val="center"/>
          </w:tcPr>
          <w:p>
            <w:pPr>
              <w:spacing w:line="460" w:lineRule="exact"/>
              <w:ind w:firstLine="420" w:firstLineChars="200"/>
              <w:rPr>
                <w:rFonts w:ascii="宋体" w:hAnsi="宋体" w:cs="宋体"/>
                <w:szCs w:val="21"/>
              </w:rPr>
            </w:pPr>
          </w:p>
        </w:tc>
        <w:tc>
          <w:tcPr>
            <w:tcW w:w="567" w:type="dxa"/>
            <w:tcBorders>
              <w:top w:val="single" w:color="000000" w:sz="6" w:space="0"/>
              <w:left w:val="single" w:color="auto" w:sz="4" w:space="0"/>
              <w:bottom w:val="single" w:color="000000" w:sz="6" w:space="0"/>
              <w:right w:val="single" w:color="000000" w:sz="6" w:space="0"/>
            </w:tcBorders>
            <w:vAlign w:val="center"/>
          </w:tcPr>
          <w:p>
            <w:pPr>
              <w:spacing w:line="460" w:lineRule="exact"/>
              <w:ind w:firstLine="420" w:firstLineChars="200"/>
              <w:rPr>
                <w:rFonts w:ascii="宋体" w:hAnsi="宋体" w:cs="宋体"/>
                <w:szCs w:val="21"/>
              </w:rPr>
            </w:pPr>
          </w:p>
        </w:tc>
        <w:tc>
          <w:tcPr>
            <w:tcW w:w="1275" w:type="dxa"/>
            <w:tcBorders>
              <w:top w:val="single" w:color="000000" w:sz="6" w:space="0"/>
              <w:left w:val="single" w:color="000000" w:sz="6" w:space="0"/>
              <w:bottom w:val="single" w:color="000000" w:sz="6" w:space="0"/>
              <w:right w:val="single" w:color="000000" w:sz="6" w:space="0"/>
            </w:tcBorders>
            <w:tcMar>
              <w:top w:w="30" w:type="dxa"/>
              <w:left w:w="30" w:type="dxa"/>
              <w:bottom w:w="30" w:type="dxa"/>
              <w:right w:w="30" w:type="dxa"/>
            </w:tcMar>
            <w:vAlign w:val="center"/>
          </w:tcPr>
          <w:p>
            <w:pPr>
              <w:spacing w:line="460" w:lineRule="exact"/>
              <w:ind w:firstLine="420" w:firstLineChars="200"/>
              <w:rPr>
                <w:rFonts w:ascii="宋体" w:hAnsi="宋体" w:cs="宋体"/>
                <w:szCs w:val="21"/>
              </w:rPr>
            </w:pPr>
          </w:p>
        </w:tc>
        <w:tc>
          <w:tcPr>
            <w:tcW w:w="1246" w:type="dxa"/>
            <w:tcBorders>
              <w:top w:val="single" w:color="000000" w:sz="6" w:space="0"/>
              <w:left w:val="single" w:color="000000" w:sz="6" w:space="0"/>
              <w:bottom w:val="single" w:color="000000" w:sz="6" w:space="0"/>
              <w:right w:val="single" w:color="000000" w:sz="6" w:space="0"/>
            </w:tcBorders>
            <w:vAlign w:val="center"/>
          </w:tcPr>
          <w:p>
            <w:pPr>
              <w:spacing w:line="460" w:lineRule="exact"/>
              <w:ind w:firstLine="420" w:firstLineChars="200"/>
              <w:rPr>
                <w:rFonts w:ascii="宋体" w:hAnsi="宋体" w:cs="宋体"/>
                <w:szCs w:val="21"/>
              </w:rPr>
            </w:pPr>
          </w:p>
        </w:tc>
        <w:tc>
          <w:tcPr>
            <w:tcW w:w="710" w:type="dxa"/>
            <w:tcBorders>
              <w:top w:val="single" w:color="000000" w:sz="6" w:space="0"/>
              <w:left w:val="single" w:color="000000" w:sz="6" w:space="0"/>
              <w:bottom w:val="single" w:color="000000" w:sz="6" w:space="0"/>
              <w:right w:val="single" w:color="auto" w:sz="4" w:space="0"/>
            </w:tcBorders>
            <w:vAlign w:val="center"/>
          </w:tcPr>
          <w:p>
            <w:pPr>
              <w:spacing w:line="460" w:lineRule="exact"/>
              <w:ind w:firstLine="420" w:firstLineChars="200"/>
              <w:rPr>
                <w:rFonts w:ascii="宋体" w:hAnsi="宋体" w:cs="宋体"/>
                <w:szCs w:val="21"/>
              </w:rPr>
            </w:pPr>
          </w:p>
        </w:tc>
        <w:tc>
          <w:tcPr>
            <w:tcW w:w="849" w:type="dxa"/>
            <w:tcBorders>
              <w:top w:val="single" w:color="000000" w:sz="6" w:space="0"/>
              <w:left w:val="single" w:color="auto" w:sz="4" w:space="0"/>
              <w:bottom w:val="single" w:color="000000" w:sz="6" w:space="0"/>
              <w:right w:val="single" w:color="000000" w:sz="6" w:space="0"/>
            </w:tcBorders>
            <w:vAlign w:val="center"/>
          </w:tcPr>
          <w:p>
            <w:pPr>
              <w:spacing w:line="460" w:lineRule="exact"/>
              <w:ind w:firstLine="420" w:firstLineChars="200"/>
              <w:rPr>
                <w:rFonts w:ascii="宋体" w:hAnsi="宋体" w:cs="宋体"/>
                <w:szCs w:val="21"/>
              </w:rPr>
            </w:pPr>
          </w:p>
        </w:tc>
      </w:tr>
      <w:tr>
        <w:tblPrEx>
          <w:tblLayout w:type="fixed"/>
          <w:tblCellMar>
            <w:top w:w="0" w:type="dxa"/>
            <w:left w:w="0" w:type="dxa"/>
            <w:bottom w:w="0" w:type="dxa"/>
            <w:right w:w="0" w:type="dxa"/>
          </w:tblCellMar>
        </w:tblPrEx>
        <w:tc>
          <w:tcPr>
            <w:tcW w:w="570" w:type="dxa"/>
            <w:tcBorders>
              <w:top w:val="single" w:color="000000" w:sz="6" w:space="0"/>
              <w:left w:val="single" w:color="000000" w:sz="6" w:space="0"/>
              <w:bottom w:val="single" w:color="000000" w:sz="6" w:space="0"/>
              <w:right w:val="single" w:color="000000" w:sz="6" w:space="0"/>
            </w:tcBorders>
            <w:tcMar>
              <w:top w:w="30" w:type="dxa"/>
              <w:left w:w="30" w:type="dxa"/>
              <w:bottom w:w="30" w:type="dxa"/>
              <w:right w:w="30" w:type="dxa"/>
            </w:tcMar>
            <w:vAlign w:val="center"/>
          </w:tcPr>
          <w:p>
            <w:pPr>
              <w:spacing w:line="460" w:lineRule="exact"/>
              <w:rPr>
                <w:rFonts w:ascii="宋体" w:hAnsi="宋体" w:cs="宋体"/>
                <w:szCs w:val="21"/>
              </w:rPr>
            </w:pPr>
            <w:r>
              <w:rPr>
                <w:rFonts w:hint="eastAsia" w:ascii="宋体" w:hAnsi="宋体" w:cs="宋体"/>
                <w:szCs w:val="21"/>
              </w:rPr>
              <w:t>2</w:t>
            </w:r>
          </w:p>
        </w:tc>
        <w:tc>
          <w:tcPr>
            <w:tcW w:w="1161" w:type="dxa"/>
            <w:tcBorders>
              <w:top w:val="single" w:color="000000" w:sz="6" w:space="0"/>
              <w:left w:val="single" w:color="000000" w:sz="6" w:space="0"/>
              <w:bottom w:val="single" w:color="000000" w:sz="6" w:space="0"/>
              <w:right w:val="single" w:color="000000" w:sz="6" w:space="0"/>
            </w:tcBorders>
            <w:tcMar>
              <w:top w:w="30" w:type="dxa"/>
              <w:left w:w="30" w:type="dxa"/>
              <w:bottom w:w="30" w:type="dxa"/>
              <w:right w:w="30" w:type="dxa"/>
            </w:tcMar>
            <w:vAlign w:val="center"/>
          </w:tcPr>
          <w:p>
            <w:pPr>
              <w:spacing w:line="460" w:lineRule="exact"/>
              <w:ind w:firstLine="420" w:firstLineChars="200"/>
              <w:rPr>
                <w:rFonts w:ascii="宋体" w:hAnsi="宋体" w:cs="宋体"/>
                <w:szCs w:val="21"/>
              </w:rPr>
            </w:pPr>
          </w:p>
        </w:tc>
        <w:tc>
          <w:tcPr>
            <w:tcW w:w="1560" w:type="dxa"/>
            <w:tcBorders>
              <w:top w:val="single" w:color="000000" w:sz="6" w:space="0"/>
              <w:left w:val="single" w:color="000000" w:sz="6" w:space="0"/>
              <w:bottom w:val="single" w:color="000000" w:sz="6" w:space="0"/>
              <w:right w:val="single" w:color="auto" w:sz="4" w:space="0"/>
            </w:tcBorders>
            <w:tcMar>
              <w:top w:w="30" w:type="dxa"/>
              <w:left w:w="30" w:type="dxa"/>
              <w:bottom w:w="30" w:type="dxa"/>
              <w:right w:w="30" w:type="dxa"/>
            </w:tcMar>
            <w:vAlign w:val="center"/>
          </w:tcPr>
          <w:p>
            <w:pPr>
              <w:spacing w:line="460" w:lineRule="exact"/>
              <w:ind w:firstLine="420" w:firstLineChars="200"/>
              <w:rPr>
                <w:rFonts w:ascii="宋体" w:hAnsi="宋体" w:cs="宋体"/>
                <w:szCs w:val="21"/>
              </w:rPr>
            </w:pPr>
          </w:p>
        </w:tc>
        <w:tc>
          <w:tcPr>
            <w:tcW w:w="1701" w:type="dxa"/>
            <w:tcBorders>
              <w:top w:val="single" w:color="000000" w:sz="6" w:space="0"/>
              <w:left w:val="single" w:color="auto" w:sz="4" w:space="0"/>
              <w:bottom w:val="single" w:color="000000" w:sz="6" w:space="0"/>
              <w:right w:val="single" w:color="000000" w:sz="2" w:space="0"/>
            </w:tcBorders>
            <w:vAlign w:val="center"/>
          </w:tcPr>
          <w:p>
            <w:pPr>
              <w:spacing w:line="460" w:lineRule="exact"/>
              <w:ind w:firstLine="420" w:firstLineChars="200"/>
              <w:rPr>
                <w:rFonts w:ascii="宋体" w:hAnsi="宋体" w:cs="宋体"/>
                <w:szCs w:val="21"/>
              </w:rPr>
            </w:pPr>
          </w:p>
        </w:tc>
        <w:tc>
          <w:tcPr>
            <w:tcW w:w="567" w:type="dxa"/>
            <w:tcBorders>
              <w:top w:val="single" w:color="000000" w:sz="6" w:space="0"/>
              <w:left w:val="single" w:color="000000" w:sz="2" w:space="0"/>
              <w:bottom w:val="single" w:color="000000" w:sz="6" w:space="0"/>
              <w:right w:val="single" w:color="auto" w:sz="4" w:space="0"/>
            </w:tcBorders>
            <w:vAlign w:val="center"/>
          </w:tcPr>
          <w:p>
            <w:pPr>
              <w:spacing w:line="460" w:lineRule="exact"/>
              <w:ind w:firstLine="420" w:firstLineChars="200"/>
              <w:rPr>
                <w:rFonts w:ascii="宋体" w:hAnsi="宋体" w:cs="宋体"/>
                <w:szCs w:val="21"/>
              </w:rPr>
            </w:pPr>
          </w:p>
        </w:tc>
        <w:tc>
          <w:tcPr>
            <w:tcW w:w="567" w:type="dxa"/>
            <w:tcBorders>
              <w:top w:val="single" w:color="000000" w:sz="6" w:space="0"/>
              <w:left w:val="single" w:color="auto" w:sz="4" w:space="0"/>
              <w:bottom w:val="single" w:color="000000" w:sz="6" w:space="0"/>
              <w:right w:val="single" w:color="000000" w:sz="6" w:space="0"/>
            </w:tcBorders>
            <w:vAlign w:val="center"/>
          </w:tcPr>
          <w:p>
            <w:pPr>
              <w:spacing w:line="460" w:lineRule="exact"/>
              <w:ind w:firstLine="420" w:firstLineChars="200"/>
              <w:rPr>
                <w:rFonts w:ascii="宋体" w:hAnsi="宋体" w:cs="宋体"/>
                <w:szCs w:val="21"/>
              </w:rPr>
            </w:pPr>
          </w:p>
        </w:tc>
        <w:tc>
          <w:tcPr>
            <w:tcW w:w="1275" w:type="dxa"/>
            <w:tcBorders>
              <w:top w:val="single" w:color="000000" w:sz="6" w:space="0"/>
              <w:left w:val="single" w:color="000000" w:sz="6" w:space="0"/>
              <w:bottom w:val="single" w:color="000000" w:sz="6" w:space="0"/>
              <w:right w:val="single" w:color="000000" w:sz="6" w:space="0"/>
            </w:tcBorders>
            <w:tcMar>
              <w:top w:w="30" w:type="dxa"/>
              <w:left w:w="30" w:type="dxa"/>
              <w:bottom w:w="30" w:type="dxa"/>
              <w:right w:w="30" w:type="dxa"/>
            </w:tcMar>
            <w:vAlign w:val="center"/>
          </w:tcPr>
          <w:p>
            <w:pPr>
              <w:spacing w:line="460" w:lineRule="exact"/>
              <w:ind w:firstLine="420" w:firstLineChars="200"/>
              <w:rPr>
                <w:rFonts w:ascii="宋体" w:hAnsi="宋体" w:cs="宋体"/>
                <w:szCs w:val="21"/>
              </w:rPr>
            </w:pPr>
          </w:p>
        </w:tc>
        <w:tc>
          <w:tcPr>
            <w:tcW w:w="1246" w:type="dxa"/>
            <w:tcBorders>
              <w:top w:val="single" w:color="000000" w:sz="6" w:space="0"/>
              <w:left w:val="single" w:color="000000" w:sz="6" w:space="0"/>
              <w:bottom w:val="single" w:color="000000" w:sz="6" w:space="0"/>
              <w:right w:val="single" w:color="000000" w:sz="6" w:space="0"/>
            </w:tcBorders>
            <w:vAlign w:val="center"/>
          </w:tcPr>
          <w:p>
            <w:pPr>
              <w:spacing w:line="460" w:lineRule="exact"/>
              <w:ind w:firstLine="420" w:firstLineChars="200"/>
              <w:rPr>
                <w:rFonts w:ascii="宋体" w:hAnsi="宋体" w:cs="宋体"/>
                <w:szCs w:val="21"/>
              </w:rPr>
            </w:pPr>
          </w:p>
        </w:tc>
        <w:tc>
          <w:tcPr>
            <w:tcW w:w="710" w:type="dxa"/>
            <w:tcBorders>
              <w:top w:val="single" w:color="000000" w:sz="6" w:space="0"/>
              <w:left w:val="single" w:color="000000" w:sz="6" w:space="0"/>
              <w:bottom w:val="single" w:color="000000" w:sz="6" w:space="0"/>
              <w:right w:val="single" w:color="auto" w:sz="4" w:space="0"/>
            </w:tcBorders>
            <w:vAlign w:val="center"/>
          </w:tcPr>
          <w:p>
            <w:pPr>
              <w:spacing w:line="460" w:lineRule="exact"/>
              <w:ind w:firstLine="420" w:firstLineChars="200"/>
              <w:rPr>
                <w:rFonts w:ascii="宋体" w:hAnsi="宋体" w:cs="宋体"/>
                <w:szCs w:val="21"/>
              </w:rPr>
            </w:pPr>
          </w:p>
        </w:tc>
        <w:tc>
          <w:tcPr>
            <w:tcW w:w="849" w:type="dxa"/>
            <w:tcBorders>
              <w:top w:val="single" w:color="000000" w:sz="6" w:space="0"/>
              <w:left w:val="single" w:color="auto" w:sz="4" w:space="0"/>
              <w:bottom w:val="single" w:color="000000" w:sz="6" w:space="0"/>
              <w:right w:val="single" w:color="000000" w:sz="6" w:space="0"/>
            </w:tcBorders>
            <w:vAlign w:val="center"/>
          </w:tcPr>
          <w:p>
            <w:pPr>
              <w:spacing w:line="460" w:lineRule="exact"/>
              <w:ind w:firstLine="420" w:firstLineChars="200"/>
              <w:rPr>
                <w:rFonts w:ascii="宋体" w:hAnsi="宋体" w:cs="宋体"/>
                <w:szCs w:val="21"/>
              </w:rPr>
            </w:pPr>
          </w:p>
        </w:tc>
      </w:tr>
      <w:tr>
        <w:tblPrEx>
          <w:tblLayout w:type="fixed"/>
          <w:tblCellMar>
            <w:top w:w="0" w:type="dxa"/>
            <w:left w:w="0" w:type="dxa"/>
            <w:bottom w:w="0" w:type="dxa"/>
            <w:right w:w="0" w:type="dxa"/>
          </w:tblCellMar>
        </w:tblPrEx>
        <w:tc>
          <w:tcPr>
            <w:tcW w:w="570" w:type="dxa"/>
            <w:tcBorders>
              <w:top w:val="single" w:color="000000" w:sz="6" w:space="0"/>
              <w:left w:val="single" w:color="000000" w:sz="6" w:space="0"/>
              <w:bottom w:val="single" w:color="000000" w:sz="6" w:space="0"/>
              <w:right w:val="single" w:color="000000" w:sz="6" w:space="0"/>
            </w:tcBorders>
            <w:tcMar>
              <w:top w:w="30" w:type="dxa"/>
              <w:left w:w="30" w:type="dxa"/>
              <w:bottom w:w="30" w:type="dxa"/>
              <w:right w:w="30" w:type="dxa"/>
            </w:tcMar>
            <w:vAlign w:val="center"/>
          </w:tcPr>
          <w:p>
            <w:pPr>
              <w:spacing w:line="460" w:lineRule="exact"/>
              <w:rPr>
                <w:rFonts w:ascii="宋体" w:hAnsi="宋体" w:cs="宋体"/>
                <w:szCs w:val="21"/>
              </w:rPr>
            </w:pPr>
            <w:r>
              <w:rPr>
                <w:rFonts w:hint="eastAsia" w:ascii="宋体" w:hAnsi="宋体" w:cs="宋体"/>
                <w:szCs w:val="21"/>
              </w:rPr>
              <w:t>3</w:t>
            </w:r>
          </w:p>
        </w:tc>
        <w:tc>
          <w:tcPr>
            <w:tcW w:w="1161" w:type="dxa"/>
            <w:tcBorders>
              <w:top w:val="single" w:color="000000" w:sz="6" w:space="0"/>
              <w:left w:val="single" w:color="000000" w:sz="6" w:space="0"/>
              <w:bottom w:val="single" w:color="000000" w:sz="6" w:space="0"/>
              <w:right w:val="single" w:color="000000" w:sz="6" w:space="0"/>
            </w:tcBorders>
            <w:tcMar>
              <w:top w:w="30" w:type="dxa"/>
              <w:left w:w="30" w:type="dxa"/>
              <w:bottom w:w="30" w:type="dxa"/>
              <w:right w:w="30" w:type="dxa"/>
            </w:tcMar>
            <w:vAlign w:val="center"/>
          </w:tcPr>
          <w:p>
            <w:pPr>
              <w:spacing w:line="460" w:lineRule="exact"/>
              <w:ind w:firstLine="420" w:firstLineChars="200"/>
              <w:rPr>
                <w:rFonts w:ascii="宋体" w:hAnsi="宋体" w:cs="宋体"/>
                <w:szCs w:val="21"/>
              </w:rPr>
            </w:pPr>
          </w:p>
        </w:tc>
        <w:tc>
          <w:tcPr>
            <w:tcW w:w="1560" w:type="dxa"/>
            <w:tcBorders>
              <w:top w:val="single" w:color="000000" w:sz="6" w:space="0"/>
              <w:left w:val="single" w:color="000000" w:sz="6" w:space="0"/>
              <w:bottom w:val="single" w:color="000000" w:sz="6" w:space="0"/>
              <w:right w:val="single" w:color="auto" w:sz="4" w:space="0"/>
            </w:tcBorders>
            <w:tcMar>
              <w:top w:w="30" w:type="dxa"/>
              <w:left w:w="30" w:type="dxa"/>
              <w:bottom w:w="30" w:type="dxa"/>
              <w:right w:w="30" w:type="dxa"/>
            </w:tcMar>
            <w:vAlign w:val="center"/>
          </w:tcPr>
          <w:p>
            <w:pPr>
              <w:spacing w:line="460" w:lineRule="exact"/>
              <w:ind w:firstLine="420" w:firstLineChars="200"/>
              <w:rPr>
                <w:rFonts w:ascii="宋体" w:hAnsi="宋体" w:cs="宋体"/>
                <w:szCs w:val="21"/>
              </w:rPr>
            </w:pPr>
          </w:p>
        </w:tc>
        <w:tc>
          <w:tcPr>
            <w:tcW w:w="1701" w:type="dxa"/>
            <w:tcBorders>
              <w:top w:val="single" w:color="000000" w:sz="6" w:space="0"/>
              <w:left w:val="single" w:color="auto" w:sz="4" w:space="0"/>
              <w:bottom w:val="single" w:color="000000" w:sz="6" w:space="0"/>
              <w:right w:val="single" w:color="000000" w:sz="2" w:space="0"/>
            </w:tcBorders>
            <w:vAlign w:val="center"/>
          </w:tcPr>
          <w:p>
            <w:pPr>
              <w:spacing w:line="460" w:lineRule="exact"/>
              <w:ind w:firstLine="420" w:firstLineChars="200"/>
              <w:rPr>
                <w:rFonts w:ascii="宋体" w:hAnsi="宋体" w:cs="宋体"/>
                <w:szCs w:val="21"/>
              </w:rPr>
            </w:pPr>
          </w:p>
        </w:tc>
        <w:tc>
          <w:tcPr>
            <w:tcW w:w="567" w:type="dxa"/>
            <w:tcBorders>
              <w:top w:val="single" w:color="000000" w:sz="6" w:space="0"/>
              <w:left w:val="single" w:color="000000" w:sz="2" w:space="0"/>
              <w:bottom w:val="single" w:color="000000" w:sz="6" w:space="0"/>
              <w:right w:val="single" w:color="auto" w:sz="4" w:space="0"/>
            </w:tcBorders>
            <w:vAlign w:val="center"/>
          </w:tcPr>
          <w:p>
            <w:pPr>
              <w:spacing w:line="460" w:lineRule="exact"/>
              <w:ind w:firstLine="420" w:firstLineChars="200"/>
              <w:rPr>
                <w:rFonts w:ascii="宋体" w:hAnsi="宋体" w:cs="宋体"/>
                <w:szCs w:val="21"/>
              </w:rPr>
            </w:pPr>
          </w:p>
        </w:tc>
        <w:tc>
          <w:tcPr>
            <w:tcW w:w="567" w:type="dxa"/>
            <w:tcBorders>
              <w:top w:val="single" w:color="000000" w:sz="6" w:space="0"/>
              <w:left w:val="single" w:color="auto" w:sz="4" w:space="0"/>
              <w:bottom w:val="single" w:color="000000" w:sz="6" w:space="0"/>
              <w:right w:val="single" w:color="000000" w:sz="6" w:space="0"/>
            </w:tcBorders>
            <w:vAlign w:val="center"/>
          </w:tcPr>
          <w:p>
            <w:pPr>
              <w:spacing w:line="460" w:lineRule="exact"/>
              <w:ind w:firstLine="420" w:firstLineChars="200"/>
              <w:rPr>
                <w:rFonts w:ascii="宋体" w:hAnsi="宋体" w:cs="宋体"/>
                <w:szCs w:val="21"/>
              </w:rPr>
            </w:pPr>
          </w:p>
        </w:tc>
        <w:tc>
          <w:tcPr>
            <w:tcW w:w="1275" w:type="dxa"/>
            <w:tcBorders>
              <w:top w:val="single" w:color="000000" w:sz="6" w:space="0"/>
              <w:left w:val="single" w:color="000000" w:sz="6" w:space="0"/>
              <w:bottom w:val="single" w:color="000000" w:sz="6" w:space="0"/>
              <w:right w:val="single" w:color="000000" w:sz="6" w:space="0"/>
            </w:tcBorders>
            <w:tcMar>
              <w:top w:w="30" w:type="dxa"/>
              <w:left w:w="30" w:type="dxa"/>
              <w:bottom w:w="30" w:type="dxa"/>
              <w:right w:w="30" w:type="dxa"/>
            </w:tcMar>
            <w:vAlign w:val="center"/>
          </w:tcPr>
          <w:p>
            <w:pPr>
              <w:spacing w:line="460" w:lineRule="exact"/>
              <w:ind w:firstLine="420" w:firstLineChars="200"/>
              <w:rPr>
                <w:rFonts w:ascii="宋体" w:hAnsi="宋体" w:cs="宋体"/>
                <w:szCs w:val="21"/>
              </w:rPr>
            </w:pPr>
          </w:p>
        </w:tc>
        <w:tc>
          <w:tcPr>
            <w:tcW w:w="1246" w:type="dxa"/>
            <w:tcBorders>
              <w:top w:val="single" w:color="000000" w:sz="6" w:space="0"/>
              <w:left w:val="single" w:color="000000" w:sz="6" w:space="0"/>
              <w:bottom w:val="single" w:color="000000" w:sz="6" w:space="0"/>
              <w:right w:val="single" w:color="000000" w:sz="6" w:space="0"/>
            </w:tcBorders>
            <w:vAlign w:val="center"/>
          </w:tcPr>
          <w:p>
            <w:pPr>
              <w:spacing w:line="460" w:lineRule="exact"/>
              <w:ind w:firstLine="420" w:firstLineChars="200"/>
              <w:rPr>
                <w:rFonts w:ascii="宋体" w:hAnsi="宋体" w:cs="宋体"/>
                <w:szCs w:val="21"/>
              </w:rPr>
            </w:pPr>
          </w:p>
        </w:tc>
        <w:tc>
          <w:tcPr>
            <w:tcW w:w="710" w:type="dxa"/>
            <w:tcBorders>
              <w:top w:val="single" w:color="000000" w:sz="6" w:space="0"/>
              <w:left w:val="single" w:color="000000" w:sz="6" w:space="0"/>
              <w:bottom w:val="single" w:color="000000" w:sz="6" w:space="0"/>
              <w:right w:val="single" w:color="auto" w:sz="4" w:space="0"/>
            </w:tcBorders>
            <w:vAlign w:val="center"/>
          </w:tcPr>
          <w:p>
            <w:pPr>
              <w:spacing w:line="460" w:lineRule="exact"/>
              <w:ind w:firstLine="420" w:firstLineChars="200"/>
              <w:rPr>
                <w:rFonts w:ascii="宋体" w:hAnsi="宋体" w:cs="宋体"/>
                <w:szCs w:val="21"/>
              </w:rPr>
            </w:pPr>
          </w:p>
        </w:tc>
        <w:tc>
          <w:tcPr>
            <w:tcW w:w="849" w:type="dxa"/>
            <w:tcBorders>
              <w:top w:val="single" w:color="000000" w:sz="6" w:space="0"/>
              <w:left w:val="single" w:color="auto" w:sz="4" w:space="0"/>
              <w:bottom w:val="single" w:color="000000" w:sz="6" w:space="0"/>
              <w:right w:val="single" w:color="000000" w:sz="6" w:space="0"/>
            </w:tcBorders>
            <w:vAlign w:val="center"/>
          </w:tcPr>
          <w:p>
            <w:pPr>
              <w:spacing w:line="460" w:lineRule="exact"/>
              <w:ind w:firstLine="420" w:firstLineChars="200"/>
              <w:rPr>
                <w:rFonts w:ascii="宋体" w:hAnsi="宋体" w:cs="宋体"/>
                <w:szCs w:val="21"/>
              </w:rPr>
            </w:pPr>
          </w:p>
        </w:tc>
      </w:tr>
      <w:tr>
        <w:tblPrEx>
          <w:tblLayout w:type="fixed"/>
          <w:tblCellMar>
            <w:top w:w="0" w:type="dxa"/>
            <w:left w:w="0" w:type="dxa"/>
            <w:bottom w:w="0" w:type="dxa"/>
            <w:right w:w="0" w:type="dxa"/>
          </w:tblCellMar>
        </w:tblPrEx>
        <w:tc>
          <w:tcPr>
            <w:tcW w:w="570" w:type="dxa"/>
            <w:tcBorders>
              <w:top w:val="single" w:color="000000" w:sz="6" w:space="0"/>
              <w:left w:val="single" w:color="000000" w:sz="6" w:space="0"/>
              <w:bottom w:val="single" w:color="000000" w:sz="6" w:space="0"/>
              <w:right w:val="single" w:color="000000" w:sz="6" w:space="0"/>
            </w:tcBorders>
            <w:tcMar>
              <w:top w:w="30" w:type="dxa"/>
              <w:left w:w="30" w:type="dxa"/>
              <w:bottom w:w="30" w:type="dxa"/>
              <w:right w:w="30" w:type="dxa"/>
            </w:tcMar>
            <w:vAlign w:val="center"/>
          </w:tcPr>
          <w:p>
            <w:pPr>
              <w:spacing w:line="460" w:lineRule="exact"/>
              <w:rPr>
                <w:rFonts w:ascii="宋体" w:hAnsi="宋体" w:cs="宋体"/>
                <w:szCs w:val="21"/>
              </w:rPr>
            </w:pPr>
            <w:r>
              <w:rPr>
                <w:rFonts w:hint="eastAsia" w:ascii="宋体" w:hAnsi="宋体" w:cs="宋体"/>
                <w:szCs w:val="21"/>
              </w:rPr>
              <w:t>。。。</w:t>
            </w:r>
          </w:p>
        </w:tc>
        <w:tc>
          <w:tcPr>
            <w:tcW w:w="1161" w:type="dxa"/>
            <w:tcBorders>
              <w:top w:val="single" w:color="000000" w:sz="6" w:space="0"/>
              <w:left w:val="single" w:color="000000" w:sz="6" w:space="0"/>
              <w:bottom w:val="single" w:color="000000" w:sz="6" w:space="0"/>
              <w:right w:val="single" w:color="000000" w:sz="6" w:space="0"/>
            </w:tcBorders>
            <w:tcMar>
              <w:top w:w="30" w:type="dxa"/>
              <w:left w:w="30" w:type="dxa"/>
              <w:bottom w:w="30" w:type="dxa"/>
              <w:right w:w="30" w:type="dxa"/>
            </w:tcMar>
            <w:vAlign w:val="center"/>
          </w:tcPr>
          <w:p>
            <w:pPr>
              <w:spacing w:line="460" w:lineRule="exact"/>
              <w:ind w:firstLine="420" w:firstLineChars="200"/>
              <w:rPr>
                <w:rFonts w:ascii="宋体" w:hAnsi="宋体" w:cs="宋体"/>
                <w:szCs w:val="21"/>
              </w:rPr>
            </w:pPr>
          </w:p>
        </w:tc>
        <w:tc>
          <w:tcPr>
            <w:tcW w:w="1560" w:type="dxa"/>
            <w:tcBorders>
              <w:top w:val="single" w:color="000000" w:sz="6" w:space="0"/>
              <w:left w:val="single" w:color="000000" w:sz="6" w:space="0"/>
              <w:bottom w:val="single" w:color="000000" w:sz="6" w:space="0"/>
              <w:right w:val="single" w:color="auto" w:sz="4" w:space="0"/>
            </w:tcBorders>
            <w:tcMar>
              <w:top w:w="30" w:type="dxa"/>
              <w:left w:w="30" w:type="dxa"/>
              <w:bottom w:w="30" w:type="dxa"/>
              <w:right w:w="30" w:type="dxa"/>
            </w:tcMar>
            <w:vAlign w:val="center"/>
          </w:tcPr>
          <w:p>
            <w:pPr>
              <w:spacing w:line="460" w:lineRule="exact"/>
              <w:ind w:firstLine="420" w:firstLineChars="200"/>
              <w:rPr>
                <w:rFonts w:ascii="宋体" w:hAnsi="宋体" w:cs="宋体"/>
                <w:szCs w:val="21"/>
              </w:rPr>
            </w:pPr>
          </w:p>
        </w:tc>
        <w:tc>
          <w:tcPr>
            <w:tcW w:w="1701" w:type="dxa"/>
            <w:tcBorders>
              <w:top w:val="single" w:color="000000" w:sz="6" w:space="0"/>
              <w:left w:val="single" w:color="auto" w:sz="4" w:space="0"/>
              <w:bottom w:val="single" w:color="000000" w:sz="6" w:space="0"/>
              <w:right w:val="single" w:color="000000" w:sz="2" w:space="0"/>
            </w:tcBorders>
            <w:vAlign w:val="center"/>
          </w:tcPr>
          <w:p>
            <w:pPr>
              <w:spacing w:line="460" w:lineRule="exact"/>
              <w:ind w:firstLine="420" w:firstLineChars="200"/>
              <w:rPr>
                <w:rFonts w:ascii="宋体" w:hAnsi="宋体" w:cs="宋体"/>
                <w:szCs w:val="21"/>
              </w:rPr>
            </w:pPr>
          </w:p>
        </w:tc>
        <w:tc>
          <w:tcPr>
            <w:tcW w:w="567" w:type="dxa"/>
            <w:tcBorders>
              <w:top w:val="single" w:color="000000" w:sz="6" w:space="0"/>
              <w:left w:val="single" w:color="000000" w:sz="2" w:space="0"/>
              <w:bottom w:val="single" w:color="000000" w:sz="6" w:space="0"/>
              <w:right w:val="single" w:color="auto" w:sz="4" w:space="0"/>
            </w:tcBorders>
            <w:vAlign w:val="center"/>
          </w:tcPr>
          <w:p>
            <w:pPr>
              <w:spacing w:line="460" w:lineRule="exact"/>
              <w:ind w:firstLine="420" w:firstLineChars="200"/>
              <w:rPr>
                <w:rFonts w:ascii="宋体" w:hAnsi="宋体" w:cs="宋体"/>
                <w:szCs w:val="21"/>
              </w:rPr>
            </w:pPr>
          </w:p>
        </w:tc>
        <w:tc>
          <w:tcPr>
            <w:tcW w:w="567" w:type="dxa"/>
            <w:tcBorders>
              <w:top w:val="single" w:color="000000" w:sz="6" w:space="0"/>
              <w:left w:val="single" w:color="auto" w:sz="4" w:space="0"/>
              <w:bottom w:val="single" w:color="000000" w:sz="6" w:space="0"/>
              <w:right w:val="single" w:color="000000" w:sz="6" w:space="0"/>
            </w:tcBorders>
            <w:vAlign w:val="center"/>
          </w:tcPr>
          <w:p>
            <w:pPr>
              <w:spacing w:line="460" w:lineRule="exact"/>
              <w:ind w:firstLine="420" w:firstLineChars="200"/>
              <w:rPr>
                <w:rFonts w:ascii="宋体" w:hAnsi="宋体" w:cs="宋体"/>
                <w:szCs w:val="21"/>
              </w:rPr>
            </w:pPr>
          </w:p>
        </w:tc>
        <w:tc>
          <w:tcPr>
            <w:tcW w:w="1275" w:type="dxa"/>
            <w:tcBorders>
              <w:top w:val="single" w:color="000000" w:sz="6" w:space="0"/>
              <w:left w:val="single" w:color="000000" w:sz="6" w:space="0"/>
              <w:bottom w:val="single" w:color="000000" w:sz="6" w:space="0"/>
              <w:right w:val="single" w:color="000000" w:sz="6" w:space="0"/>
            </w:tcBorders>
            <w:tcMar>
              <w:top w:w="30" w:type="dxa"/>
              <w:left w:w="30" w:type="dxa"/>
              <w:bottom w:w="30" w:type="dxa"/>
              <w:right w:w="30" w:type="dxa"/>
            </w:tcMar>
            <w:vAlign w:val="center"/>
          </w:tcPr>
          <w:p>
            <w:pPr>
              <w:spacing w:line="460" w:lineRule="exact"/>
              <w:ind w:firstLine="420" w:firstLineChars="200"/>
              <w:rPr>
                <w:rFonts w:ascii="宋体" w:hAnsi="宋体" w:cs="宋体"/>
                <w:szCs w:val="21"/>
              </w:rPr>
            </w:pPr>
          </w:p>
        </w:tc>
        <w:tc>
          <w:tcPr>
            <w:tcW w:w="1246" w:type="dxa"/>
            <w:tcBorders>
              <w:top w:val="single" w:color="000000" w:sz="6" w:space="0"/>
              <w:left w:val="single" w:color="000000" w:sz="6" w:space="0"/>
              <w:bottom w:val="single" w:color="000000" w:sz="6" w:space="0"/>
              <w:right w:val="single" w:color="000000" w:sz="6" w:space="0"/>
            </w:tcBorders>
            <w:vAlign w:val="center"/>
          </w:tcPr>
          <w:p>
            <w:pPr>
              <w:spacing w:line="460" w:lineRule="exact"/>
              <w:ind w:firstLine="420" w:firstLineChars="200"/>
              <w:rPr>
                <w:rFonts w:ascii="宋体" w:hAnsi="宋体" w:cs="宋体"/>
                <w:szCs w:val="21"/>
              </w:rPr>
            </w:pPr>
          </w:p>
        </w:tc>
        <w:tc>
          <w:tcPr>
            <w:tcW w:w="710" w:type="dxa"/>
            <w:tcBorders>
              <w:top w:val="single" w:color="000000" w:sz="6" w:space="0"/>
              <w:left w:val="single" w:color="000000" w:sz="6" w:space="0"/>
              <w:bottom w:val="single" w:color="000000" w:sz="6" w:space="0"/>
              <w:right w:val="single" w:color="auto" w:sz="4" w:space="0"/>
            </w:tcBorders>
            <w:vAlign w:val="center"/>
          </w:tcPr>
          <w:p>
            <w:pPr>
              <w:spacing w:line="460" w:lineRule="exact"/>
              <w:ind w:firstLine="420" w:firstLineChars="200"/>
              <w:rPr>
                <w:rFonts w:ascii="宋体" w:hAnsi="宋体" w:cs="宋体"/>
                <w:szCs w:val="21"/>
              </w:rPr>
            </w:pPr>
          </w:p>
        </w:tc>
        <w:tc>
          <w:tcPr>
            <w:tcW w:w="849" w:type="dxa"/>
            <w:tcBorders>
              <w:top w:val="single" w:color="000000" w:sz="6" w:space="0"/>
              <w:left w:val="single" w:color="auto" w:sz="4" w:space="0"/>
              <w:bottom w:val="single" w:color="000000" w:sz="6" w:space="0"/>
              <w:right w:val="single" w:color="000000" w:sz="6" w:space="0"/>
            </w:tcBorders>
            <w:vAlign w:val="center"/>
          </w:tcPr>
          <w:p>
            <w:pPr>
              <w:spacing w:line="460" w:lineRule="exact"/>
              <w:ind w:firstLine="420" w:firstLineChars="200"/>
              <w:rPr>
                <w:rFonts w:ascii="宋体" w:hAnsi="宋体" w:cs="宋体"/>
                <w:szCs w:val="21"/>
              </w:rPr>
            </w:pPr>
          </w:p>
        </w:tc>
      </w:tr>
      <w:tr>
        <w:tblPrEx>
          <w:tblLayout w:type="fixed"/>
          <w:tblCellMar>
            <w:top w:w="0" w:type="dxa"/>
            <w:left w:w="0" w:type="dxa"/>
            <w:bottom w:w="0" w:type="dxa"/>
            <w:right w:w="0" w:type="dxa"/>
          </w:tblCellMar>
        </w:tblPrEx>
        <w:trPr>
          <w:trHeight w:val="378" w:hRule="atLeast"/>
        </w:trPr>
        <w:tc>
          <w:tcPr>
            <w:tcW w:w="570" w:type="dxa"/>
            <w:tcBorders>
              <w:top w:val="single" w:color="000000" w:sz="6" w:space="0"/>
              <w:left w:val="single" w:color="000000" w:sz="6" w:space="0"/>
              <w:bottom w:val="single" w:color="000000" w:sz="6" w:space="0"/>
              <w:right w:val="single" w:color="000000" w:sz="6" w:space="0"/>
            </w:tcBorders>
            <w:tcMar>
              <w:top w:w="30" w:type="dxa"/>
              <w:left w:w="30" w:type="dxa"/>
              <w:bottom w:w="30" w:type="dxa"/>
              <w:right w:w="30" w:type="dxa"/>
            </w:tcMar>
            <w:vAlign w:val="center"/>
          </w:tcPr>
          <w:p>
            <w:pPr>
              <w:spacing w:line="460" w:lineRule="exact"/>
              <w:ind w:firstLine="420" w:firstLineChars="200"/>
              <w:rPr>
                <w:rFonts w:ascii="宋体" w:hAnsi="宋体" w:cs="宋体"/>
                <w:szCs w:val="21"/>
              </w:rPr>
            </w:pPr>
          </w:p>
        </w:tc>
        <w:tc>
          <w:tcPr>
            <w:tcW w:w="1161" w:type="dxa"/>
            <w:tcBorders>
              <w:top w:val="single" w:color="000000" w:sz="6" w:space="0"/>
              <w:left w:val="single" w:color="000000" w:sz="6" w:space="0"/>
              <w:bottom w:val="single" w:color="000000" w:sz="6" w:space="0"/>
              <w:right w:val="single" w:color="000000" w:sz="6" w:space="0"/>
            </w:tcBorders>
            <w:tcMar>
              <w:top w:w="30" w:type="dxa"/>
              <w:left w:w="30" w:type="dxa"/>
              <w:bottom w:w="30" w:type="dxa"/>
              <w:right w:w="30" w:type="dxa"/>
            </w:tcMar>
            <w:vAlign w:val="center"/>
          </w:tcPr>
          <w:p>
            <w:pPr>
              <w:spacing w:line="460" w:lineRule="exact"/>
              <w:rPr>
                <w:rFonts w:ascii="宋体" w:hAnsi="宋体" w:cs="宋体"/>
                <w:szCs w:val="21"/>
              </w:rPr>
            </w:pPr>
            <w:r>
              <w:rPr>
                <w:rFonts w:hint="eastAsia" w:ascii="宋体" w:hAnsi="宋体" w:cs="宋体"/>
                <w:szCs w:val="21"/>
              </w:rPr>
              <w:t>金额合计</w:t>
            </w:r>
          </w:p>
        </w:tc>
        <w:tc>
          <w:tcPr>
            <w:tcW w:w="5670" w:type="dxa"/>
            <w:gridSpan w:val="5"/>
            <w:tcBorders>
              <w:top w:val="single" w:color="000000" w:sz="6" w:space="0"/>
              <w:left w:val="single" w:color="000000" w:sz="6" w:space="0"/>
              <w:bottom w:val="single" w:color="000000" w:sz="6" w:space="0"/>
              <w:right w:val="single" w:color="auto" w:sz="4" w:space="0"/>
            </w:tcBorders>
            <w:tcMar>
              <w:top w:w="30" w:type="dxa"/>
              <w:left w:w="30" w:type="dxa"/>
              <w:bottom w:w="30" w:type="dxa"/>
              <w:right w:w="30" w:type="dxa"/>
            </w:tcMar>
            <w:vAlign w:val="center"/>
          </w:tcPr>
          <w:p>
            <w:pPr>
              <w:spacing w:line="460" w:lineRule="exact"/>
              <w:ind w:firstLine="422" w:firstLineChars="200"/>
              <w:rPr>
                <w:rFonts w:ascii="宋体" w:hAnsi="宋体" w:cs="宋体"/>
                <w:szCs w:val="21"/>
              </w:rPr>
            </w:pPr>
            <w:r>
              <w:rPr>
                <w:rFonts w:hint="eastAsia" w:ascii="宋体" w:hAnsi="宋体" w:cs="宋体"/>
                <w:b/>
                <w:szCs w:val="21"/>
              </w:rPr>
              <w:t>大写人民币</w:t>
            </w:r>
          </w:p>
        </w:tc>
        <w:tc>
          <w:tcPr>
            <w:tcW w:w="1246" w:type="dxa"/>
            <w:tcBorders>
              <w:top w:val="single" w:color="000000" w:sz="6" w:space="0"/>
              <w:left w:val="single" w:color="auto" w:sz="4" w:space="0"/>
              <w:bottom w:val="single" w:color="000000" w:sz="6" w:space="0"/>
              <w:right w:val="single" w:color="000000" w:sz="6" w:space="0"/>
            </w:tcBorders>
            <w:vAlign w:val="center"/>
          </w:tcPr>
          <w:p>
            <w:pPr>
              <w:spacing w:line="460" w:lineRule="exact"/>
              <w:ind w:firstLine="420" w:firstLineChars="200"/>
              <w:rPr>
                <w:rFonts w:ascii="宋体" w:hAnsi="宋体" w:cs="宋体"/>
                <w:szCs w:val="21"/>
              </w:rPr>
            </w:pPr>
          </w:p>
        </w:tc>
        <w:tc>
          <w:tcPr>
            <w:tcW w:w="710" w:type="dxa"/>
            <w:tcBorders>
              <w:top w:val="single" w:color="000000" w:sz="6" w:space="0"/>
              <w:left w:val="single" w:color="000000" w:sz="6" w:space="0"/>
              <w:bottom w:val="single" w:color="000000" w:sz="6" w:space="0"/>
              <w:right w:val="single" w:color="auto" w:sz="4" w:space="0"/>
            </w:tcBorders>
            <w:vAlign w:val="center"/>
          </w:tcPr>
          <w:p>
            <w:pPr>
              <w:spacing w:line="460" w:lineRule="exact"/>
              <w:ind w:firstLine="420" w:firstLineChars="200"/>
              <w:rPr>
                <w:rFonts w:ascii="宋体" w:hAnsi="宋体" w:cs="宋体"/>
                <w:szCs w:val="21"/>
              </w:rPr>
            </w:pPr>
          </w:p>
        </w:tc>
        <w:tc>
          <w:tcPr>
            <w:tcW w:w="849" w:type="dxa"/>
            <w:tcBorders>
              <w:top w:val="single" w:color="000000" w:sz="6" w:space="0"/>
              <w:left w:val="single" w:color="auto" w:sz="4" w:space="0"/>
              <w:bottom w:val="single" w:color="000000" w:sz="6" w:space="0"/>
              <w:right w:val="single" w:color="000000" w:sz="6" w:space="0"/>
            </w:tcBorders>
            <w:vAlign w:val="center"/>
          </w:tcPr>
          <w:p>
            <w:pPr>
              <w:spacing w:line="460" w:lineRule="exact"/>
              <w:ind w:firstLine="420" w:firstLineChars="200"/>
              <w:rPr>
                <w:rFonts w:ascii="宋体" w:hAnsi="宋体" w:cs="宋体"/>
                <w:szCs w:val="21"/>
              </w:rPr>
            </w:pPr>
          </w:p>
        </w:tc>
      </w:tr>
    </w:tbl>
    <w:p>
      <w:pPr>
        <w:pStyle w:val="23"/>
        <w:rPr>
          <w:rFonts w:ascii="宋体" w:hAnsi="宋体"/>
          <w:color w:val="000000"/>
        </w:rPr>
      </w:pPr>
    </w:p>
    <w:bookmarkEnd w:id="75"/>
    <w:p>
      <w:pPr>
        <w:pStyle w:val="2"/>
        <w:pageBreakBefore/>
        <w:rPr>
          <w:color w:val="000000"/>
        </w:rPr>
      </w:pPr>
      <w:bookmarkStart w:id="76" w:name="_Toc523213628"/>
      <w:bookmarkStart w:id="77" w:name="_Toc18672579"/>
      <w:r>
        <w:rPr>
          <w:rFonts w:hint="eastAsia"/>
          <w:color w:val="000000"/>
        </w:rPr>
        <w:t>第五章</w:t>
      </w:r>
      <w:r>
        <w:rPr>
          <w:color w:val="000000"/>
        </w:rPr>
        <w:t xml:space="preserve"> </w:t>
      </w:r>
      <w:bookmarkEnd w:id="76"/>
      <w:r>
        <w:rPr>
          <w:rFonts w:hint="eastAsia"/>
        </w:rPr>
        <w:t>采购需求</w:t>
      </w:r>
      <w:bookmarkEnd w:id="77"/>
    </w:p>
    <w:p>
      <w:pPr>
        <w:pStyle w:val="23"/>
        <w:adjustRightInd w:val="0"/>
        <w:snapToGrid w:val="0"/>
        <w:spacing w:line="300" w:lineRule="auto"/>
        <w:ind w:firstLine="482"/>
        <w:outlineLvl w:val="1"/>
        <w:rPr>
          <w:rFonts w:ascii="宋体" w:hAnsi="宋体" w:cs="宋体"/>
        </w:rPr>
      </w:pPr>
      <w:bookmarkStart w:id="78" w:name="_Toc18672580"/>
      <w:r>
        <w:rPr>
          <w:rFonts w:hint="eastAsia" w:ascii="宋体" w:hAnsi="宋体" w:cs="宋体"/>
          <w:b/>
          <w:bCs/>
        </w:rPr>
        <w:t>一、采购项目背景</w:t>
      </w:r>
      <w:r>
        <w:rPr>
          <w:rFonts w:hint="eastAsia" w:ascii="宋体" w:hAnsi="宋体" w:cs="宋体"/>
        </w:rPr>
        <w:t>：</w:t>
      </w:r>
      <w:bookmarkEnd w:id="78"/>
    </w:p>
    <w:p>
      <w:pPr>
        <w:pStyle w:val="23"/>
        <w:adjustRightInd w:val="0"/>
        <w:snapToGrid w:val="0"/>
        <w:spacing w:line="300" w:lineRule="auto"/>
        <w:ind w:firstLine="482"/>
        <w:outlineLvl w:val="1"/>
        <w:rPr>
          <w:rFonts w:ascii="宋体" w:hAnsi="宋体" w:cs="宋体"/>
        </w:rPr>
      </w:pPr>
      <w:bookmarkStart w:id="79" w:name="_Toc18672581"/>
      <w:r>
        <w:rPr>
          <w:rFonts w:hint="eastAsia" w:ascii="宋体" w:hAnsi="宋体" w:cs="宋体"/>
        </w:rPr>
        <w:t>宜昌白洋港拟建3000吨级泊位6个，其中散货泊位、杂货泊位和多用途泊位各2个，设计年吞吐量为365万吨，相应建设生产配套建筑物及供电、给排水、消防、通信等辅助设施。宜昌白洋港主要以现有公路、水路、铁路、航空四大运输方式为依托，以现代港口物流为主体，以信息公共平台为联系，以装卸、转运、仓储、运输、加工、配送、电子商务等服务为主，全方位服务于白洋工业园区建设、承接三峡翻坝转运及西北物流陆水联运的现代化港口及物流公用基础设施。宜昌白洋港的建设，将为提升宜昌长江航运服务能力，满足临港工业发展需要，更好地服务白洋工业园区经济发展，实施“沿江突破”和“一带两圈”发展战略，结合白洋港实际情况，确定以下技术方案。</w:t>
      </w:r>
      <w:bookmarkEnd w:id="79"/>
    </w:p>
    <w:p>
      <w:pPr>
        <w:pStyle w:val="23"/>
        <w:adjustRightInd w:val="0"/>
        <w:snapToGrid w:val="0"/>
        <w:spacing w:line="300" w:lineRule="auto"/>
        <w:ind w:firstLine="482"/>
        <w:outlineLvl w:val="1"/>
        <w:rPr>
          <w:rFonts w:ascii="宋体" w:hAnsi="宋体" w:cs="宋体"/>
          <w:b/>
          <w:bCs/>
        </w:rPr>
      </w:pPr>
      <w:bookmarkStart w:id="80" w:name="_Toc18672582"/>
      <w:r>
        <w:rPr>
          <w:rFonts w:hint="eastAsia" w:ascii="宋体" w:hAnsi="宋体" w:cs="宋体"/>
          <w:b/>
          <w:bCs/>
        </w:rPr>
        <w:t>二、采购项目介绍</w:t>
      </w:r>
      <w:bookmarkEnd w:id="80"/>
    </w:p>
    <w:p>
      <w:pPr>
        <w:spacing w:line="320" w:lineRule="exact"/>
        <w:rPr>
          <w:rFonts w:ascii="宋体" w:hAnsi="宋体" w:cs="宋体"/>
          <w:b/>
          <w:bCs/>
          <w:sz w:val="18"/>
          <w:szCs w:val="18"/>
        </w:rPr>
      </w:pPr>
      <w:bookmarkStart w:id="81" w:name="_Toc3911328"/>
    </w:p>
    <w:p>
      <w:pPr>
        <w:pStyle w:val="3"/>
        <w:keepNext/>
        <w:keepLines/>
        <w:numPr>
          <w:ilvl w:val="1"/>
          <w:numId w:val="0"/>
        </w:numPr>
        <w:spacing w:line="320" w:lineRule="exact"/>
        <w:ind w:left="576" w:hanging="576"/>
        <w:jc w:val="both"/>
        <w:rPr>
          <w:rFonts w:cs="宋体"/>
          <w:sz w:val="18"/>
          <w:szCs w:val="18"/>
        </w:rPr>
      </w:pPr>
      <w:bookmarkStart w:id="82" w:name="_Toc15226"/>
      <w:bookmarkStart w:id="83" w:name="_Toc529194110"/>
      <w:bookmarkStart w:id="84" w:name="_Toc18672583"/>
      <w:r>
        <w:rPr>
          <w:rFonts w:hint="eastAsia" w:cs="宋体"/>
          <w:sz w:val="18"/>
          <w:szCs w:val="18"/>
        </w:rPr>
        <w:t>术语定义</w:t>
      </w:r>
      <w:bookmarkEnd w:id="82"/>
      <w:bookmarkEnd w:id="83"/>
      <w:bookmarkEnd w:id="84"/>
    </w:p>
    <w:tbl>
      <w:tblPr>
        <w:tblStyle w:val="13"/>
        <w:tblW w:w="8522"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093"/>
        <w:gridCol w:w="642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93" w:type="dxa"/>
            <w:shd w:val="pct10" w:color="auto" w:fill="auto"/>
            <w:vAlign w:val="center"/>
          </w:tcPr>
          <w:p>
            <w:pPr>
              <w:pStyle w:val="24"/>
              <w:spacing w:after="0" w:line="320" w:lineRule="exact"/>
              <w:ind w:left="0" w:leftChars="0"/>
              <w:jc w:val="center"/>
              <w:rPr>
                <w:rFonts w:ascii="宋体" w:hAnsi="宋体" w:cs="宋体"/>
                <w:sz w:val="18"/>
                <w:szCs w:val="18"/>
              </w:rPr>
            </w:pPr>
            <w:r>
              <w:rPr>
                <w:rFonts w:hint="eastAsia" w:ascii="宋体" w:hAnsi="宋体" w:cs="宋体"/>
                <w:sz w:val="18"/>
                <w:szCs w:val="18"/>
              </w:rPr>
              <w:t>词汇名称</w:t>
            </w:r>
          </w:p>
        </w:tc>
        <w:tc>
          <w:tcPr>
            <w:tcW w:w="6429" w:type="dxa"/>
            <w:shd w:val="pct10" w:color="auto" w:fill="auto"/>
            <w:vAlign w:val="center"/>
          </w:tcPr>
          <w:p>
            <w:pPr>
              <w:pStyle w:val="24"/>
              <w:spacing w:after="0" w:line="320" w:lineRule="exact"/>
              <w:ind w:left="0" w:leftChars="0"/>
              <w:rPr>
                <w:rFonts w:ascii="宋体" w:hAnsi="宋体" w:cs="宋体"/>
                <w:sz w:val="18"/>
                <w:szCs w:val="18"/>
              </w:rPr>
            </w:pPr>
            <w:r>
              <w:rPr>
                <w:rFonts w:hint="eastAsia" w:ascii="宋体" w:hAnsi="宋体" w:cs="宋体"/>
                <w:sz w:val="18"/>
                <w:szCs w:val="18"/>
              </w:rPr>
              <w:t>词汇含义</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93" w:type="dxa"/>
            <w:vAlign w:val="center"/>
          </w:tcPr>
          <w:p>
            <w:pPr>
              <w:pStyle w:val="24"/>
              <w:spacing w:after="0" w:line="320" w:lineRule="exact"/>
              <w:ind w:left="0" w:leftChars="0"/>
              <w:jc w:val="center"/>
              <w:rPr>
                <w:rFonts w:ascii="宋体" w:hAnsi="宋体" w:cs="宋体"/>
                <w:sz w:val="18"/>
                <w:szCs w:val="18"/>
              </w:rPr>
            </w:pPr>
            <w:r>
              <w:rPr>
                <w:rFonts w:hint="eastAsia" w:ascii="宋体" w:hAnsi="宋体" w:cs="宋体"/>
                <w:sz w:val="18"/>
                <w:szCs w:val="18"/>
              </w:rPr>
              <w:t>智能卡口</w:t>
            </w:r>
          </w:p>
        </w:tc>
        <w:tc>
          <w:tcPr>
            <w:tcW w:w="6429" w:type="dxa"/>
            <w:vAlign w:val="center"/>
          </w:tcPr>
          <w:p>
            <w:pPr>
              <w:pStyle w:val="24"/>
              <w:spacing w:after="0" w:line="320" w:lineRule="exact"/>
              <w:ind w:left="0" w:leftChars="0"/>
              <w:rPr>
                <w:rFonts w:ascii="宋体" w:hAnsi="宋体" w:cs="宋体"/>
                <w:sz w:val="18"/>
                <w:szCs w:val="18"/>
              </w:rPr>
            </w:pPr>
            <w:r>
              <w:rPr>
                <w:rFonts w:hint="eastAsia" w:ascii="宋体" w:hAnsi="宋体" w:cs="宋体"/>
                <w:sz w:val="18"/>
                <w:szCs w:val="18"/>
              </w:rPr>
              <w:t>实现高度自动化，尽量减少和控制人为干预，提高车辆通过卡口速度和效率。工作人员能在各卡口控制室对经管理授权卡口的通车情况进行监控，能够在监控中心实现对所有卡口通车情况的监控，并可以远程对卡口采集数据进行补采、干预集装箱的放行处理。</w:t>
            </w:r>
          </w:p>
        </w:tc>
      </w:tr>
    </w:tbl>
    <w:p>
      <w:pPr>
        <w:pStyle w:val="3"/>
        <w:keepNext/>
        <w:keepLines/>
        <w:numPr>
          <w:ilvl w:val="1"/>
          <w:numId w:val="0"/>
        </w:numPr>
        <w:spacing w:line="320" w:lineRule="exact"/>
        <w:ind w:left="576" w:hanging="576"/>
        <w:jc w:val="both"/>
        <w:rPr>
          <w:sz w:val="18"/>
          <w:szCs w:val="18"/>
        </w:rPr>
      </w:pPr>
      <w:bookmarkStart w:id="85" w:name="_Toc18672584"/>
      <w:bookmarkStart w:id="86" w:name="_Toc417000811"/>
      <w:bookmarkStart w:id="87" w:name="_Toc412897110"/>
      <w:bookmarkStart w:id="88" w:name="_Toc188349312"/>
      <w:bookmarkStart w:id="89" w:name="_Toc337465165"/>
      <w:bookmarkStart w:id="90" w:name="_Toc365219377"/>
      <w:bookmarkStart w:id="91" w:name="_Toc334358268"/>
      <w:bookmarkStart w:id="92" w:name="_Toc334358480"/>
      <w:bookmarkStart w:id="93" w:name="_Toc411442122"/>
      <w:bookmarkStart w:id="94" w:name="_Toc334358377"/>
      <w:bookmarkStart w:id="95" w:name="_Toc334141534"/>
      <w:bookmarkStart w:id="96" w:name="_Toc529194111"/>
      <w:bookmarkStart w:id="97" w:name="_Toc5563"/>
      <w:bookmarkStart w:id="98" w:name="_Toc19691"/>
      <w:r>
        <w:rPr>
          <w:rFonts w:hint="eastAsia"/>
          <w:sz w:val="18"/>
          <w:szCs w:val="18"/>
        </w:rPr>
        <w:t>参考资料</w:t>
      </w:r>
      <w:bookmarkEnd w:id="85"/>
      <w:bookmarkEnd w:id="86"/>
      <w:bookmarkEnd w:id="87"/>
      <w:bookmarkEnd w:id="88"/>
      <w:bookmarkEnd w:id="89"/>
      <w:bookmarkEnd w:id="90"/>
      <w:bookmarkEnd w:id="91"/>
      <w:bookmarkEnd w:id="92"/>
      <w:bookmarkEnd w:id="93"/>
      <w:bookmarkEnd w:id="94"/>
      <w:bookmarkEnd w:id="95"/>
      <w:bookmarkEnd w:id="96"/>
      <w:bookmarkEnd w:id="97"/>
      <w:bookmarkEnd w:id="98"/>
    </w:p>
    <w:p>
      <w:pPr>
        <w:pStyle w:val="6"/>
        <w:spacing w:line="320" w:lineRule="exact"/>
        <w:ind w:firstLine="360"/>
        <w:rPr>
          <w:rFonts w:ascii="宋体" w:hAnsi="宋体" w:cs="宋体"/>
          <w:sz w:val="18"/>
          <w:szCs w:val="18"/>
        </w:rPr>
      </w:pPr>
      <w:r>
        <w:rPr>
          <w:rFonts w:hint="eastAsia" w:ascii="宋体" w:hAnsi="宋体" w:cs="宋体"/>
          <w:sz w:val="18"/>
          <w:szCs w:val="18"/>
        </w:rPr>
        <w:t>《智能建筑设计标准》GB/T50314-2000</w:t>
      </w:r>
    </w:p>
    <w:p>
      <w:pPr>
        <w:pStyle w:val="6"/>
        <w:spacing w:line="320" w:lineRule="exact"/>
        <w:ind w:firstLine="360"/>
        <w:rPr>
          <w:rFonts w:ascii="宋体" w:hAnsi="宋体"/>
          <w:sz w:val="18"/>
          <w:szCs w:val="18"/>
        </w:rPr>
      </w:pPr>
      <w:r>
        <w:rPr>
          <w:rFonts w:hint="eastAsia" w:ascii="宋体" w:hAnsi="宋体"/>
          <w:sz w:val="18"/>
          <w:szCs w:val="18"/>
        </w:rPr>
        <w:t>《中华人民共和国公共安全行业标准》（GA/T 75-92）</w:t>
      </w:r>
    </w:p>
    <w:p>
      <w:pPr>
        <w:spacing w:line="320" w:lineRule="exact"/>
        <w:ind w:firstLine="360" w:firstLineChars="200"/>
        <w:rPr>
          <w:rFonts w:ascii="宋体" w:hAnsi="宋体"/>
          <w:sz w:val="18"/>
          <w:szCs w:val="18"/>
        </w:rPr>
      </w:pPr>
      <w:r>
        <w:rPr>
          <w:rFonts w:hint="eastAsia" w:ascii="宋体" w:hAnsi="宋体"/>
          <w:sz w:val="18"/>
          <w:szCs w:val="18"/>
        </w:rPr>
        <w:t>《中华人民共和国公共安全行业标准》（GB 10208-89）</w:t>
      </w:r>
    </w:p>
    <w:p>
      <w:pPr>
        <w:spacing w:line="320" w:lineRule="exact"/>
        <w:ind w:firstLine="360" w:firstLineChars="200"/>
        <w:rPr>
          <w:rFonts w:ascii="宋体" w:hAnsi="宋体"/>
          <w:sz w:val="18"/>
          <w:szCs w:val="18"/>
        </w:rPr>
      </w:pPr>
      <w:r>
        <w:rPr>
          <w:rFonts w:hint="eastAsia" w:ascii="宋体" w:hAnsi="宋体"/>
          <w:sz w:val="18"/>
          <w:szCs w:val="18"/>
        </w:rPr>
        <w:t>《中华人民共和国公共安全行业标准》（GA 247-2000）</w:t>
      </w:r>
    </w:p>
    <w:p>
      <w:pPr>
        <w:pStyle w:val="3"/>
        <w:keepNext/>
        <w:keepLines/>
        <w:numPr>
          <w:ilvl w:val="1"/>
          <w:numId w:val="0"/>
        </w:numPr>
        <w:spacing w:line="320" w:lineRule="exact"/>
        <w:ind w:left="576" w:hanging="576"/>
        <w:jc w:val="both"/>
        <w:rPr>
          <w:sz w:val="18"/>
          <w:szCs w:val="18"/>
        </w:rPr>
      </w:pPr>
      <w:bookmarkStart w:id="99" w:name="_Toc529194112"/>
      <w:bookmarkStart w:id="100" w:name="_Toc24699"/>
      <w:bookmarkStart w:id="101" w:name="_Toc18672585"/>
      <w:r>
        <w:rPr>
          <w:rFonts w:hint="eastAsia"/>
          <w:sz w:val="18"/>
          <w:szCs w:val="18"/>
        </w:rPr>
        <w:t>建设内容</w:t>
      </w:r>
      <w:bookmarkEnd w:id="99"/>
      <w:bookmarkEnd w:id="100"/>
      <w:bookmarkEnd w:id="101"/>
      <w:r>
        <w:rPr>
          <w:rFonts w:hint="eastAsia"/>
          <w:sz w:val="18"/>
          <w:szCs w:val="18"/>
        </w:rPr>
        <w:t xml:space="preserve">  </w:t>
      </w:r>
    </w:p>
    <w:p>
      <w:pPr>
        <w:adjustRightInd w:val="0"/>
        <w:snapToGrid w:val="0"/>
        <w:spacing w:line="320" w:lineRule="exact"/>
        <w:ind w:firstLine="360" w:firstLineChars="200"/>
        <w:rPr>
          <w:rFonts w:ascii="宋体" w:hAnsi="宋体" w:cs="宋体"/>
          <w:sz w:val="18"/>
          <w:szCs w:val="18"/>
        </w:rPr>
      </w:pPr>
      <w:r>
        <w:rPr>
          <w:rFonts w:hint="eastAsia" w:ascii="宋体" w:hAnsi="宋体" w:cs="宋体"/>
          <w:sz w:val="18"/>
          <w:szCs w:val="18"/>
        </w:rPr>
        <w:t>按照智能卡口系统标准建设4条A类通道、4条散杂货车辆通道，2条超宽进出可变车辆通道，接入白洋港TOS系统，实现系统数据对接。同时对接企业系统，具备对港区卡口系统远程运维、远程配置、远程测试、人工补采等功能。</w:t>
      </w:r>
    </w:p>
    <w:p>
      <w:pPr>
        <w:adjustRightInd w:val="0"/>
        <w:snapToGrid w:val="0"/>
        <w:spacing w:line="320" w:lineRule="exact"/>
        <w:ind w:firstLine="360" w:firstLineChars="200"/>
        <w:rPr>
          <w:rFonts w:ascii="宋体" w:hAnsi="宋体" w:cs="宋体"/>
          <w:sz w:val="18"/>
          <w:szCs w:val="18"/>
        </w:rPr>
      </w:pPr>
      <w:r>
        <w:rPr>
          <w:rFonts w:hint="eastAsia" w:ascii="宋体" w:hAnsi="宋体" w:cs="宋体"/>
          <w:sz w:val="18"/>
          <w:szCs w:val="18"/>
          <w:lang w:val="zh-CN"/>
        </w:rPr>
        <w:t>招标文件中标注有“</w:t>
      </w:r>
      <w:r>
        <w:rPr>
          <w:rFonts w:hint="eastAsia" w:ascii="宋体" w:hAnsi="宋体" w:cs="宋体"/>
          <w:sz w:val="18"/>
          <w:szCs w:val="18"/>
        </w:rPr>
        <w:t>★”号的条款为满足工程需求的重要技术指标，投标人应严格响应，如不满足将在技术评分中按照评分规则进行严厉扣分。</w:t>
      </w:r>
    </w:p>
    <w:p>
      <w:pPr>
        <w:pStyle w:val="8"/>
        <w:spacing w:line="320" w:lineRule="exact"/>
        <w:rPr>
          <w:rFonts w:hAnsi="宋体" w:cs="宋体"/>
          <w:sz w:val="18"/>
          <w:szCs w:val="18"/>
        </w:rPr>
      </w:pPr>
      <w:r>
        <w:rPr>
          <w:rFonts w:hint="eastAsia" w:hAnsi="宋体" w:cs="宋体"/>
          <w:sz w:val="18"/>
          <w:szCs w:val="18"/>
        </w:rPr>
        <w:t>带“★”号条款中涉及硬件设备技术参数的，需要设备原厂商提供满足该参数要求的产品说明文件，原厂盖章，不能提供的视为不满足。</w:t>
      </w:r>
    </w:p>
    <w:p>
      <w:pPr>
        <w:pStyle w:val="8"/>
        <w:spacing w:line="320" w:lineRule="exact"/>
        <w:rPr>
          <w:rFonts w:hAnsi="宋体"/>
          <w:sz w:val="18"/>
          <w:szCs w:val="18"/>
        </w:rPr>
      </w:pPr>
      <w:r>
        <w:rPr>
          <w:rFonts w:hint="eastAsia" w:hAnsi="宋体" w:cs="宋体"/>
          <w:sz w:val="18"/>
          <w:szCs w:val="18"/>
        </w:rPr>
        <w:t>带“★”号条款涉及软件系统指标（如识别率等）的，承诺的指标作为项目验收的标准。</w:t>
      </w:r>
    </w:p>
    <w:p>
      <w:pPr>
        <w:pStyle w:val="25"/>
        <w:spacing w:line="320" w:lineRule="exact"/>
        <w:jc w:val="left"/>
        <w:rPr>
          <w:rFonts w:ascii="宋体" w:hAnsi="宋体" w:cs="宋体"/>
          <w:sz w:val="18"/>
          <w:szCs w:val="18"/>
        </w:rPr>
      </w:pPr>
      <w:bookmarkStart w:id="102" w:name="_Toc8018"/>
      <w:r>
        <w:rPr>
          <w:rFonts w:hint="eastAsia" w:ascii="宋体" w:hAnsi="宋体" w:cs="宋体"/>
          <w:sz w:val="18"/>
          <w:szCs w:val="18"/>
        </w:rPr>
        <w:t>1、前端识别系统</w:t>
      </w:r>
      <w:bookmarkEnd w:id="102"/>
      <w:r>
        <w:rPr>
          <w:rFonts w:hint="eastAsia" w:ascii="宋体" w:hAnsi="宋体" w:cs="宋体"/>
          <w:sz w:val="18"/>
          <w:szCs w:val="18"/>
        </w:rPr>
        <w:t xml:space="preserve">  </w:t>
      </w:r>
    </w:p>
    <w:p>
      <w:pPr>
        <w:pStyle w:val="5"/>
        <w:spacing w:line="320" w:lineRule="exact"/>
        <w:ind w:firstLine="320"/>
        <w:rPr>
          <w:rFonts w:cs="宋体"/>
          <w:b/>
          <w:bCs/>
          <w:sz w:val="18"/>
          <w:szCs w:val="18"/>
        </w:rPr>
      </w:pPr>
      <w:r>
        <w:rPr>
          <w:rFonts w:hint="eastAsia" w:cs="宋体"/>
          <w:b/>
          <w:bCs/>
          <w:sz w:val="18"/>
          <w:szCs w:val="18"/>
        </w:rPr>
        <w:t>1.1 AI箱号识别系统</w:t>
      </w:r>
    </w:p>
    <w:p>
      <w:pPr>
        <w:pStyle w:val="26"/>
        <w:spacing w:line="320" w:lineRule="exact"/>
        <w:rPr>
          <w:rFonts w:ascii="宋体" w:hAnsi="宋体" w:cs="宋体"/>
          <w:sz w:val="18"/>
          <w:szCs w:val="18"/>
        </w:rPr>
      </w:pPr>
      <w:r>
        <w:rPr>
          <w:rFonts w:hint="eastAsia" w:ascii="宋体" w:hAnsi="宋体" w:cs="宋体"/>
          <w:sz w:val="18"/>
          <w:szCs w:val="18"/>
        </w:rPr>
        <w:t>集装箱箱号自动识别系统由集装箱箱体触发监测设备、箱号图像拍摄设备、箱号图像识别设备组成。系统收到集装箱箱体触发信号后，由箱号图像拍摄设备拍摄集装箱箱号图像并传送至箱号图像识别设备，由识别设备识别出集装箱箱号、箱型。</w:t>
      </w:r>
    </w:p>
    <w:p>
      <w:pPr>
        <w:pStyle w:val="17"/>
        <w:spacing w:line="320" w:lineRule="exact"/>
        <w:ind w:left="426" w:firstLine="0" w:firstLineChars="0"/>
        <w:rPr>
          <w:rFonts w:ascii="宋体" w:hAnsi="宋体" w:cs="宋体"/>
          <w:b/>
          <w:bCs/>
          <w:sz w:val="18"/>
          <w:szCs w:val="18"/>
        </w:rPr>
      </w:pPr>
      <w:r>
        <w:rPr>
          <w:rFonts w:hint="eastAsia" w:ascii="宋体" w:hAnsi="宋体" w:cs="宋体"/>
          <w:b/>
          <w:bCs/>
          <w:sz w:val="18"/>
          <w:szCs w:val="18"/>
        </w:rPr>
        <w:t>系统功能</w:t>
      </w:r>
    </w:p>
    <w:p>
      <w:pPr>
        <w:pStyle w:val="18"/>
        <w:widowControl w:val="0"/>
        <w:numPr>
          <w:ilvl w:val="0"/>
          <w:numId w:val="1"/>
        </w:numPr>
        <w:spacing w:line="320" w:lineRule="exact"/>
        <w:ind w:firstLineChars="0"/>
        <w:jc w:val="both"/>
        <w:rPr>
          <w:rFonts w:ascii="宋体" w:hAnsi="宋体" w:cs="宋体"/>
          <w:sz w:val="18"/>
          <w:szCs w:val="18"/>
        </w:rPr>
      </w:pPr>
      <w:r>
        <w:rPr>
          <w:rFonts w:hint="eastAsia" w:ascii="宋体" w:hAnsi="宋体" w:cs="宋体"/>
          <w:sz w:val="18"/>
          <w:szCs w:val="18"/>
        </w:rPr>
        <w:t>★箱号识别率应大于98%。采用高清摄像机截取视频流，AI算法分析，获取集装箱箱号的照片,并自动识别出正确的箱号；</w:t>
      </w:r>
    </w:p>
    <w:p>
      <w:pPr>
        <w:pStyle w:val="18"/>
        <w:widowControl w:val="0"/>
        <w:numPr>
          <w:ilvl w:val="0"/>
          <w:numId w:val="1"/>
        </w:numPr>
        <w:spacing w:line="320" w:lineRule="exact"/>
        <w:ind w:firstLineChars="0"/>
        <w:jc w:val="both"/>
        <w:rPr>
          <w:rFonts w:ascii="宋体" w:hAnsi="宋体" w:cs="宋体"/>
          <w:sz w:val="18"/>
          <w:szCs w:val="18"/>
        </w:rPr>
      </w:pPr>
      <w:r>
        <w:rPr>
          <w:rFonts w:hint="eastAsia" w:ascii="宋体" w:hAnsi="宋体" w:cs="宋体"/>
          <w:sz w:val="18"/>
          <w:szCs w:val="18"/>
        </w:rPr>
        <w:t>★应选用不低于300万像素高清相机，分辨率不低于1920*1080；</w:t>
      </w:r>
    </w:p>
    <w:p>
      <w:pPr>
        <w:pStyle w:val="18"/>
        <w:widowControl w:val="0"/>
        <w:numPr>
          <w:ilvl w:val="0"/>
          <w:numId w:val="1"/>
        </w:numPr>
        <w:spacing w:line="320" w:lineRule="exact"/>
        <w:ind w:firstLineChars="0"/>
        <w:jc w:val="both"/>
        <w:rPr>
          <w:rFonts w:ascii="宋体" w:hAnsi="宋体" w:cs="宋体"/>
          <w:sz w:val="18"/>
          <w:szCs w:val="18"/>
        </w:rPr>
      </w:pPr>
      <w:r>
        <w:rPr>
          <w:rFonts w:hint="eastAsia" w:ascii="宋体" w:hAnsi="宋体" w:cs="宋体"/>
          <w:sz w:val="18"/>
          <w:szCs w:val="18"/>
        </w:rPr>
        <w:t>系统能自动判断集装箱拖车空车/带箱状态；</w:t>
      </w:r>
    </w:p>
    <w:p>
      <w:pPr>
        <w:pStyle w:val="18"/>
        <w:widowControl w:val="0"/>
        <w:numPr>
          <w:ilvl w:val="0"/>
          <w:numId w:val="1"/>
        </w:numPr>
        <w:spacing w:line="320" w:lineRule="exact"/>
        <w:ind w:firstLineChars="0"/>
        <w:jc w:val="both"/>
        <w:rPr>
          <w:rFonts w:ascii="宋体" w:hAnsi="宋体" w:cs="宋体"/>
          <w:sz w:val="18"/>
          <w:szCs w:val="18"/>
        </w:rPr>
      </w:pPr>
      <w:r>
        <w:rPr>
          <w:rFonts w:hint="eastAsia" w:ascii="宋体" w:hAnsi="宋体" w:cs="宋体"/>
          <w:sz w:val="18"/>
          <w:szCs w:val="18"/>
        </w:rPr>
        <w:t>箱型识别率应大于95%。系统能自动识别出集装箱箱体上的箱型标识；</w:t>
      </w:r>
    </w:p>
    <w:p>
      <w:pPr>
        <w:pStyle w:val="18"/>
        <w:widowControl w:val="0"/>
        <w:numPr>
          <w:ilvl w:val="0"/>
          <w:numId w:val="1"/>
        </w:numPr>
        <w:spacing w:line="320" w:lineRule="exact"/>
        <w:ind w:firstLineChars="0"/>
        <w:jc w:val="both"/>
        <w:rPr>
          <w:rFonts w:ascii="宋体" w:hAnsi="宋体" w:cs="宋体"/>
          <w:sz w:val="18"/>
          <w:szCs w:val="18"/>
        </w:rPr>
      </w:pPr>
      <w:r>
        <w:rPr>
          <w:rFonts w:hint="eastAsia" w:ascii="宋体" w:hAnsi="宋体" w:cs="宋体"/>
          <w:sz w:val="18"/>
          <w:szCs w:val="18"/>
        </w:rPr>
        <w:t>系统能自动识别出车辆装载的集装箱个数，并识别出各自的集装箱号码并区分前后箱的功能。</w:t>
      </w:r>
    </w:p>
    <w:p>
      <w:pPr>
        <w:pStyle w:val="5"/>
        <w:spacing w:line="320" w:lineRule="exact"/>
        <w:ind w:firstLine="320"/>
        <w:rPr>
          <w:rFonts w:cs="宋体"/>
          <w:b/>
          <w:bCs/>
          <w:sz w:val="18"/>
          <w:szCs w:val="18"/>
        </w:rPr>
      </w:pPr>
      <w:r>
        <w:rPr>
          <w:rFonts w:hint="eastAsia" w:cs="宋体"/>
          <w:b/>
          <w:bCs/>
          <w:sz w:val="18"/>
          <w:szCs w:val="18"/>
        </w:rPr>
        <w:t xml:space="preserve">1.2 集装箱箱体验残系统  </w:t>
      </w:r>
    </w:p>
    <w:p>
      <w:pPr>
        <w:pStyle w:val="27"/>
        <w:spacing w:line="320" w:lineRule="exact"/>
        <w:rPr>
          <w:rFonts w:cs="宋体"/>
          <w:sz w:val="18"/>
          <w:szCs w:val="18"/>
        </w:rPr>
      </w:pPr>
      <w:r>
        <w:rPr>
          <w:rFonts w:hint="eastAsia" w:cs="宋体"/>
          <w:sz w:val="18"/>
          <w:szCs w:val="18"/>
        </w:rPr>
        <w:t>集卡车辆在进入闸口后,运用图像拼接技术和AI算法，采集并拼接出集装箱前、后、左、右、顶五个面图像。系统能自动识别凹陷、破损、油污、变形等集装箱残损类型并在后台界面进行残损标识。</w:t>
      </w:r>
    </w:p>
    <w:p>
      <w:pPr>
        <w:pStyle w:val="17"/>
        <w:spacing w:line="320" w:lineRule="exact"/>
        <w:ind w:left="426" w:firstLine="0" w:firstLineChars="0"/>
        <w:rPr>
          <w:rFonts w:ascii="宋体" w:hAnsi="宋体" w:cs="宋体"/>
          <w:b/>
          <w:bCs/>
          <w:sz w:val="18"/>
          <w:szCs w:val="18"/>
        </w:rPr>
      </w:pPr>
      <w:r>
        <w:rPr>
          <w:rFonts w:hint="eastAsia" w:ascii="宋体" w:hAnsi="宋体" w:cs="宋体"/>
          <w:b/>
          <w:bCs/>
          <w:sz w:val="18"/>
          <w:szCs w:val="18"/>
        </w:rPr>
        <w:t>系统功能</w:t>
      </w:r>
    </w:p>
    <w:p>
      <w:pPr>
        <w:pStyle w:val="18"/>
        <w:widowControl w:val="0"/>
        <w:numPr>
          <w:ilvl w:val="0"/>
          <w:numId w:val="2"/>
        </w:numPr>
        <w:spacing w:line="320" w:lineRule="exact"/>
        <w:ind w:firstLineChars="0"/>
        <w:jc w:val="both"/>
        <w:rPr>
          <w:rFonts w:ascii="宋体" w:hAnsi="宋体" w:cs="宋体"/>
          <w:sz w:val="18"/>
          <w:szCs w:val="18"/>
        </w:rPr>
      </w:pPr>
      <w:r>
        <w:rPr>
          <w:rFonts w:hint="eastAsia" w:ascii="宋体" w:hAnsi="宋体" w:cs="宋体"/>
          <w:sz w:val="18"/>
          <w:szCs w:val="18"/>
        </w:rPr>
        <w:t>★自动验残时间应小于3秒；</w:t>
      </w:r>
    </w:p>
    <w:p>
      <w:pPr>
        <w:pStyle w:val="18"/>
        <w:widowControl w:val="0"/>
        <w:numPr>
          <w:ilvl w:val="0"/>
          <w:numId w:val="2"/>
        </w:numPr>
        <w:spacing w:line="320" w:lineRule="exact"/>
        <w:ind w:firstLineChars="0"/>
        <w:jc w:val="both"/>
        <w:rPr>
          <w:rFonts w:ascii="宋体" w:hAnsi="宋体" w:cs="宋体"/>
          <w:sz w:val="18"/>
          <w:szCs w:val="18"/>
        </w:rPr>
      </w:pPr>
      <w:r>
        <w:rPr>
          <w:rFonts w:hint="eastAsia" w:ascii="宋体" w:hAnsi="宋体" w:cs="宋体"/>
          <w:sz w:val="18"/>
          <w:szCs w:val="18"/>
        </w:rPr>
        <w:t>系统具有较强的可扩展性、稳定性、可维护性；</w:t>
      </w:r>
    </w:p>
    <w:p>
      <w:pPr>
        <w:pStyle w:val="18"/>
        <w:widowControl w:val="0"/>
        <w:numPr>
          <w:ilvl w:val="0"/>
          <w:numId w:val="2"/>
        </w:numPr>
        <w:spacing w:line="320" w:lineRule="exact"/>
        <w:ind w:firstLineChars="0"/>
        <w:jc w:val="both"/>
        <w:rPr>
          <w:rFonts w:ascii="宋体" w:hAnsi="宋体" w:cs="宋体"/>
          <w:sz w:val="18"/>
          <w:szCs w:val="18"/>
        </w:rPr>
      </w:pPr>
      <w:r>
        <w:rPr>
          <w:rFonts w:hint="eastAsia" w:ascii="宋体" w:hAnsi="宋体" w:cs="宋体"/>
          <w:sz w:val="18"/>
          <w:szCs w:val="18"/>
        </w:rPr>
        <w:t>系统支持在多种条件下对图片进行查询，可以实时调出图片与识别结果匹配核对；</w:t>
      </w:r>
    </w:p>
    <w:p>
      <w:pPr>
        <w:pStyle w:val="18"/>
        <w:widowControl w:val="0"/>
        <w:numPr>
          <w:ilvl w:val="0"/>
          <w:numId w:val="2"/>
        </w:numPr>
        <w:spacing w:line="320" w:lineRule="exact"/>
        <w:ind w:firstLineChars="0"/>
        <w:jc w:val="both"/>
        <w:rPr>
          <w:rFonts w:ascii="宋体" w:hAnsi="宋体" w:cs="宋体"/>
          <w:sz w:val="18"/>
          <w:szCs w:val="18"/>
        </w:rPr>
      </w:pPr>
      <w:r>
        <w:rPr>
          <w:rFonts w:hint="eastAsia" w:ascii="宋体" w:hAnsi="宋体" w:cs="宋体"/>
          <w:sz w:val="18"/>
          <w:szCs w:val="18"/>
        </w:rPr>
        <w:t>★系统应通过图像拼接技术或其他更高的技术路线，能够在一张图片上显示集装箱图像用于验残识别，示例图如下：</w:t>
      </w:r>
    </w:p>
    <w:p>
      <w:pPr>
        <w:pStyle w:val="8"/>
        <w:spacing w:line="320" w:lineRule="exact"/>
        <w:rPr>
          <w:rFonts w:hAnsi="宋体" w:cs="宋体"/>
          <w:sz w:val="18"/>
          <w:szCs w:val="18"/>
        </w:rPr>
      </w:pPr>
      <w:r>
        <w:drawing>
          <wp:anchor distT="0" distB="0" distL="114300" distR="114300" simplePos="0" relativeHeight="251658240" behindDoc="1" locked="0" layoutInCell="1" allowOverlap="1">
            <wp:simplePos x="0" y="0"/>
            <wp:positionH relativeFrom="column">
              <wp:posOffset>205105</wp:posOffset>
            </wp:positionH>
            <wp:positionV relativeFrom="paragraph">
              <wp:posOffset>100965</wp:posOffset>
            </wp:positionV>
            <wp:extent cx="5309870" cy="3488055"/>
            <wp:effectExtent l="0" t="0" r="5080" b="1714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11"/>
                    <a:stretch>
                      <a:fillRect/>
                    </a:stretch>
                  </pic:blipFill>
                  <pic:spPr>
                    <a:xfrm>
                      <a:off x="0" y="0"/>
                      <a:ext cx="5309870" cy="3488055"/>
                    </a:xfrm>
                    <a:prstGeom prst="rect">
                      <a:avLst/>
                    </a:prstGeom>
                    <a:noFill/>
                    <a:ln>
                      <a:noFill/>
                    </a:ln>
                  </pic:spPr>
                </pic:pic>
              </a:graphicData>
            </a:graphic>
          </wp:anchor>
        </w:drawing>
      </w: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pStyle w:val="8"/>
        <w:spacing w:line="320" w:lineRule="exact"/>
        <w:rPr>
          <w:rFonts w:hAnsi="宋体" w:cs="宋体"/>
          <w:sz w:val="18"/>
          <w:szCs w:val="18"/>
        </w:rPr>
      </w:pPr>
    </w:p>
    <w:p>
      <w:pPr>
        <w:snapToGrid w:val="0"/>
        <w:spacing w:line="320" w:lineRule="exact"/>
        <w:rPr>
          <w:rFonts w:ascii="宋体" w:hAnsi="宋体" w:cs="宋体"/>
          <w:sz w:val="18"/>
          <w:szCs w:val="18"/>
        </w:rPr>
      </w:pPr>
    </w:p>
    <w:p>
      <w:pPr>
        <w:pStyle w:val="5"/>
        <w:spacing w:line="320" w:lineRule="exact"/>
        <w:ind w:firstLine="320"/>
        <w:rPr>
          <w:rFonts w:cs="宋体"/>
          <w:b/>
          <w:sz w:val="18"/>
          <w:szCs w:val="18"/>
        </w:rPr>
      </w:pPr>
      <w:r>
        <w:rPr>
          <w:rFonts w:hint="eastAsia" w:cs="宋体"/>
          <w:b/>
          <w:sz w:val="18"/>
          <w:szCs w:val="18"/>
        </w:rPr>
        <w:t xml:space="preserve">1.3 高清车牌识别系统  </w:t>
      </w:r>
    </w:p>
    <w:p>
      <w:pPr>
        <w:pStyle w:val="27"/>
        <w:spacing w:line="320" w:lineRule="exact"/>
        <w:rPr>
          <w:rFonts w:cs="宋体"/>
          <w:sz w:val="18"/>
          <w:szCs w:val="18"/>
        </w:rPr>
      </w:pPr>
      <w:r>
        <w:rPr>
          <w:rFonts w:hint="eastAsia" w:cs="宋体"/>
          <w:sz w:val="18"/>
          <w:szCs w:val="18"/>
        </w:rPr>
        <w:t>车牌识别系统应能识别集卡车标准车牌号、标准蓝色汽车牌照。系统由前端图像采集单元、补光单元、车牌识别控制管理单元、传输单元等几个部分组成构成。系统预留接口作配合码头操作系统开发与调试所用，实现与码头操作系统的数据交换与对接。</w:t>
      </w:r>
    </w:p>
    <w:p>
      <w:pPr>
        <w:pStyle w:val="17"/>
        <w:spacing w:line="320" w:lineRule="exact"/>
        <w:ind w:left="426" w:firstLine="0" w:firstLineChars="0"/>
        <w:rPr>
          <w:rFonts w:ascii="宋体" w:hAnsi="宋体" w:cs="宋体"/>
          <w:sz w:val="18"/>
          <w:szCs w:val="18"/>
        </w:rPr>
      </w:pPr>
      <w:r>
        <w:rPr>
          <w:rFonts w:hint="eastAsia" w:ascii="宋体" w:hAnsi="宋体" w:cs="宋体"/>
          <w:b/>
          <w:bCs/>
          <w:sz w:val="18"/>
          <w:szCs w:val="18"/>
        </w:rPr>
        <w:t>系统功能</w:t>
      </w:r>
    </w:p>
    <w:p>
      <w:pPr>
        <w:pStyle w:val="18"/>
        <w:widowControl w:val="0"/>
        <w:numPr>
          <w:ilvl w:val="0"/>
          <w:numId w:val="3"/>
        </w:numPr>
        <w:spacing w:line="320" w:lineRule="exact"/>
        <w:ind w:firstLineChars="0"/>
        <w:jc w:val="both"/>
        <w:rPr>
          <w:rFonts w:ascii="宋体" w:hAnsi="宋体" w:cs="宋体"/>
          <w:sz w:val="18"/>
          <w:szCs w:val="18"/>
        </w:rPr>
      </w:pPr>
      <w:r>
        <w:rPr>
          <w:rFonts w:hint="eastAsia" w:ascii="宋体" w:hAnsi="宋体" w:cs="宋体"/>
          <w:sz w:val="18"/>
          <w:szCs w:val="18"/>
        </w:rPr>
        <w:t>★车牌识别正确率应不低于97%；车辆扑捉率应不低于99%；</w:t>
      </w:r>
    </w:p>
    <w:p>
      <w:pPr>
        <w:pStyle w:val="18"/>
        <w:widowControl w:val="0"/>
        <w:numPr>
          <w:ilvl w:val="0"/>
          <w:numId w:val="3"/>
        </w:numPr>
        <w:spacing w:line="320" w:lineRule="exact"/>
        <w:ind w:firstLineChars="0"/>
        <w:jc w:val="both"/>
        <w:rPr>
          <w:rFonts w:ascii="宋体" w:hAnsi="宋体" w:cs="宋体"/>
          <w:sz w:val="18"/>
          <w:szCs w:val="18"/>
        </w:rPr>
      </w:pPr>
      <w:r>
        <w:rPr>
          <w:rFonts w:hint="eastAsia" w:ascii="宋体" w:hAnsi="宋体" w:cs="宋体"/>
          <w:sz w:val="18"/>
          <w:szCs w:val="18"/>
        </w:rPr>
        <w:t>允许的车辆最大行驶速度应不低于40KM/h；</w:t>
      </w:r>
    </w:p>
    <w:p>
      <w:pPr>
        <w:pStyle w:val="18"/>
        <w:widowControl w:val="0"/>
        <w:numPr>
          <w:ilvl w:val="0"/>
          <w:numId w:val="3"/>
        </w:numPr>
        <w:spacing w:line="320" w:lineRule="exact"/>
        <w:ind w:firstLineChars="0"/>
        <w:jc w:val="both"/>
        <w:rPr>
          <w:rFonts w:ascii="宋体" w:hAnsi="宋体" w:cs="宋体"/>
          <w:sz w:val="18"/>
          <w:szCs w:val="18"/>
        </w:rPr>
      </w:pPr>
      <w:r>
        <w:rPr>
          <w:rFonts w:hint="eastAsia" w:ascii="宋体" w:hAnsi="宋体" w:cs="宋体"/>
          <w:sz w:val="18"/>
          <w:szCs w:val="18"/>
        </w:rPr>
        <w:t>车牌识别时间应不高于200ms。</w:t>
      </w:r>
    </w:p>
    <w:p>
      <w:pPr>
        <w:pStyle w:val="5"/>
        <w:spacing w:line="320" w:lineRule="exact"/>
        <w:ind w:firstLine="320"/>
        <w:rPr>
          <w:rFonts w:cs="宋体"/>
          <w:b/>
          <w:bCs/>
          <w:sz w:val="18"/>
          <w:szCs w:val="18"/>
        </w:rPr>
      </w:pPr>
      <w:r>
        <w:rPr>
          <w:rFonts w:hint="eastAsia" w:cs="宋体"/>
          <w:b/>
          <w:bCs/>
          <w:sz w:val="18"/>
          <w:szCs w:val="18"/>
        </w:rPr>
        <w:t>1.4 车架号识别系统</w:t>
      </w:r>
    </w:p>
    <w:p>
      <w:pPr>
        <w:spacing w:line="320" w:lineRule="exact"/>
        <w:ind w:firstLine="360" w:firstLineChars="200"/>
        <w:rPr>
          <w:rFonts w:ascii="宋体" w:hAnsi="宋体" w:cs="宋体"/>
          <w:sz w:val="18"/>
          <w:szCs w:val="18"/>
        </w:rPr>
      </w:pPr>
      <w:r>
        <w:rPr>
          <w:rFonts w:hint="eastAsia" w:ascii="宋体" w:hAnsi="宋体" w:cs="宋体"/>
          <w:sz w:val="18"/>
          <w:szCs w:val="18"/>
        </w:rPr>
        <w:t>系统在车辆通过闸口过程中，对车辆的尾部车架号进行抓拍识别并上传到集中监管平台，供工作人员判定车架号准确性。系统能够满足白天和黑夜不同光线条件下的正常工作，不受雨、雪、雾等恶劣天气的影响。</w:t>
      </w:r>
    </w:p>
    <w:p>
      <w:pPr>
        <w:pStyle w:val="28"/>
        <w:spacing w:line="320" w:lineRule="exact"/>
        <w:rPr>
          <w:rFonts w:ascii="宋体" w:hAnsi="宋体" w:cs="宋体"/>
          <w:b/>
          <w:sz w:val="18"/>
          <w:szCs w:val="18"/>
        </w:rPr>
      </w:pPr>
      <w:bookmarkStart w:id="103" w:name="_Toc1333706"/>
      <w:r>
        <w:rPr>
          <w:rFonts w:hint="eastAsia" w:ascii="宋体" w:hAnsi="宋体" w:cs="宋体"/>
          <w:b/>
          <w:sz w:val="18"/>
          <w:szCs w:val="18"/>
        </w:rPr>
        <w:t>系统功能</w:t>
      </w:r>
      <w:bookmarkEnd w:id="103"/>
    </w:p>
    <w:p>
      <w:pPr>
        <w:numPr>
          <w:ilvl w:val="0"/>
          <w:numId w:val="4"/>
        </w:numPr>
        <w:spacing w:line="320" w:lineRule="exact"/>
        <w:rPr>
          <w:rFonts w:ascii="宋体" w:hAnsi="宋体" w:cs="宋体"/>
          <w:sz w:val="18"/>
          <w:szCs w:val="18"/>
        </w:rPr>
      </w:pPr>
      <w:r>
        <w:rPr>
          <w:rFonts w:hint="eastAsia" w:ascii="宋体" w:hAnsi="宋体" w:cs="宋体"/>
          <w:sz w:val="18"/>
          <w:szCs w:val="18"/>
        </w:rPr>
        <w:t>★全天候车架号识别准确率应不低于95%；</w:t>
      </w:r>
    </w:p>
    <w:p>
      <w:pPr>
        <w:numPr>
          <w:ilvl w:val="0"/>
          <w:numId w:val="4"/>
        </w:numPr>
        <w:spacing w:line="320" w:lineRule="exact"/>
        <w:rPr>
          <w:rFonts w:ascii="宋体" w:hAnsi="宋体" w:cs="宋体"/>
          <w:sz w:val="18"/>
          <w:szCs w:val="18"/>
        </w:rPr>
      </w:pPr>
      <w:r>
        <w:rPr>
          <w:rFonts w:hint="eastAsia" w:ascii="宋体" w:hAnsi="宋体" w:cs="宋体"/>
          <w:sz w:val="18"/>
          <w:szCs w:val="18"/>
        </w:rPr>
        <w:t>应支持摄像机快门速度及自动增益等参数，调整以提高识别率；</w:t>
      </w:r>
    </w:p>
    <w:p>
      <w:pPr>
        <w:numPr>
          <w:ilvl w:val="0"/>
          <w:numId w:val="4"/>
        </w:numPr>
        <w:spacing w:line="320" w:lineRule="exact"/>
        <w:rPr>
          <w:rFonts w:ascii="宋体" w:hAnsi="宋体" w:cs="宋体"/>
          <w:sz w:val="18"/>
          <w:szCs w:val="18"/>
        </w:rPr>
      </w:pPr>
      <w:r>
        <w:rPr>
          <w:rFonts w:hint="eastAsia" w:ascii="宋体" w:hAnsi="宋体" w:cs="宋体"/>
          <w:sz w:val="18"/>
          <w:szCs w:val="18"/>
        </w:rPr>
        <w:t>应支持在多种条件下对图片进行查询，可实时调出图片与识别结果匹配核对；</w:t>
      </w:r>
    </w:p>
    <w:p>
      <w:pPr>
        <w:numPr>
          <w:ilvl w:val="0"/>
          <w:numId w:val="4"/>
        </w:numPr>
        <w:spacing w:line="320" w:lineRule="exact"/>
        <w:rPr>
          <w:rFonts w:ascii="宋体" w:hAnsi="宋体" w:cs="宋体"/>
          <w:sz w:val="18"/>
          <w:szCs w:val="18"/>
        </w:rPr>
      </w:pPr>
      <w:r>
        <w:rPr>
          <w:rFonts w:hint="eastAsia" w:ascii="宋体" w:hAnsi="宋体" w:cs="宋体"/>
          <w:sz w:val="18"/>
          <w:szCs w:val="18"/>
        </w:rPr>
        <w:t>应能生成用户需要的各种类型报表。</w:t>
      </w:r>
    </w:p>
    <w:p>
      <w:pPr>
        <w:pStyle w:val="5"/>
        <w:spacing w:line="320" w:lineRule="exact"/>
        <w:ind w:firstLine="320"/>
        <w:rPr>
          <w:rFonts w:cs="宋体"/>
          <w:b/>
          <w:sz w:val="18"/>
          <w:szCs w:val="18"/>
        </w:rPr>
      </w:pPr>
      <w:r>
        <w:rPr>
          <w:rFonts w:hint="eastAsia" w:cs="宋体"/>
          <w:b/>
          <w:sz w:val="18"/>
          <w:szCs w:val="18"/>
        </w:rPr>
        <w:t xml:space="preserve">1.5 电子车牌识别系统  </w:t>
      </w:r>
    </w:p>
    <w:p>
      <w:pPr>
        <w:spacing w:line="320" w:lineRule="exact"/>
        <w:ind w:firstLine="560"/>
        <w:rPr>
          <w:rFonts w:ascii="宋体" w:hAnsi="宋体" w:cs="宋体"/>
          <w:sz w:val="18"/>
          <w:szCs w:val="18"/>
        </w:rPr>
      </w:pPr>
      <w:r>
        <w:rPr>
          <w:rFonts w:hint="eastAsia" w:ascii="宋体" w:hAnsi="宋体" w:cs="宋体"/>
          <w:sz w:val="18"/>
          <w:szCs w:val="18"/>
        </w:rPr>
        <w:t>电子车牌自动识别系统由车辆触发检测设备、电子车牌读写器、读写天线及车载电子标签组成。车辆到达识别地后，由车辆触发检测设备向系统发送车辆到达信号，由电子车牌读写器通过读写天线对车载电子标签进行读取。为满足智能卡口系统后期升级及运维方面的需求，电子车牌读写器应首选以太网的通讯方式。</w:t>
      </w:r>
    </w:p>
    <w:p>
      <w:pPr>
        <w:pStyle w:val="17"/>
        <w:spacing w:line="320" w:lineRule="exact"/>
        <w:ind w:left="426" w:firstLine="0" w:firstLineChars="0"/>
        <w:rPr>
          <w:rFonts w:ascii="宋体" w:hAnsi="宋体" w:cs="宋体"/>
          <w:b/>
          <w:bCs/>
          <w:sz w:val="18"/>
          <w:szCs w:val="18"/>
        </w:rPr>
      </w:pPr>
      <w:r>
        <w:rPr>
          <w:rFonts w:hint="eastAsia" w:ascii="宋体" w:hAnsi="宋体" w:cs="宋体"/>
          <w:b/>
          <w:bCs/>
          <w:sz w:val="18"/>
          <w:szCs w:val="18"/>
        </w:rPr>
        <w:t>系统功能</w:t>
      </w:r>
    </w:p>
    <w:p>
      <w:pPr>
        <w:numPr>
          <w:ilvl w:val="0"/>
          <w:numId w:val="5"/>
        </w:numPr>
        <w:spacing w:line="320" w:lineRule="exact"/>
        <w:rPr>
          <w:rFonts w:ascii="宋体" w:hAnsi="宋体" w:cs="宋体"/>
          <w:sz w:val="18"/>
          <w:szCs w:val="18"/>
        </w:rPr>
      </w:pPr>
      <w:r>
        <w:rPr>
          <w:rFonts w:hint="eastAsia" w:ascii="宋体" w:hAnsi="宋体" w:cs="宋体"/>
          <w:sz w:val="18"/>
          <w:szCs w:val="18"/>
        </w:rPr>
        <w:t>★系统识别率应大于99％（全天候）。</w:t>
      </w:r>
    </w:p>
    <w:p>
      <w:pPr>
        <w:numPr>
          <w:ilvl w:val="0"/>
          <w:numId w:val="5"/>
        </w:numPr>
        <w:spacing w:line="320" w:lineRule="exact"/>
        <w:rPr>
          <w:rFonts w:ascii="宋体" w:hAnsi="宋体" w:cs="宋体"/>
          <w:sz w:val="18"/>
          <w:szCs w:val="18"/>
        </w:rPr>
      </w:pPr>
      <w:r>
        <w:rPr>
          <w:rFonts w:hint="eastAsia" w:ascii="宋体" w:hAnsi="宋体" w:cs="宋体"/>
          <w:sz w:val="18"/>
          <w:szCs w:val="18"/>
        </w:rPr>
        <w:t>应能与码头系统对接，进行车牌号码的相关判断。</w:t>
      </w:r>
    </w:p>
    <w:p>
      <w:pPr>
        <w:numPr>
          <w:ilvl w:val="0"/>
          <w:numId w:val="5"/>
        </w:numPr>
        <w:spacing w:line="320" w:lineRule="exact"/>
        <w:rPr>
          <w:rFonts w:ascii="宋体" w:hAnsi="宋体" w:cs="宋体"/>
          <w:sz w:val="18"/>
          <w:szCs w:val="18"/>
        </w:rPr>
      </w:pPr>
      <w:r>
        <w:rPr>
          <w:rFonts w:hint="eastAsia" w:ascii="宋体" w:hAnsi="宋体" w:cs="宋体"/>
          <w:sz w:val="18"/>
          <w:szCs w:val="18"/>
        </w:rPr>
        <w:t>读写器无线发射功率不能对周围其他通信设备产生干扰，要有超强的抗干扰能力，不能出现邻道干扰。</w:t>
      </w:r>
    </w:p>
    <w:p>
      <w:pPr>
        <w:numPr>
          <w:ilvl w:val="0"/>
          <w:numId w:val="5"/>
        </w:numPr>
        <w:spacing w:line="320" w:lineRule="exact"/>
        <w:rPr>
          <w:rFonts w:ascii="宋体" w:hAnsi="宋体" w:cs="宋体"/>
          <w:sz w:val="18"/>
          <w:szCs w:val="18"/>
        </w:rPr>
      </w:pPr>
      <w:r>
        <w:rPr>
          <w:rFonts w:hint="eastAsia" w:ascii="宋体" w:hAnsi="宋体" w:cs="宋体"/>
          <w:sz w:val="18"/>
          <w:szCs w:val="18"/>
        </w:rPr>
        <w:t>★读写器应具备网口通讯功能。</w:t>
      </w:r>
    </w:p>
    <w:p>
      <w:pPr>
        <w:numPr>
          <w:ilvl w:val="0"/>
          <w:numId w:val="5"/>
        </w:numPr>
        <w:spacing w:line="320" w:lineRule="exact"/>
        <w:rPr>
          <w:rFonts w:ascii="宋体" w:hAnsi="宋体" w:cs="宋体"/>
          <w:sz w:val="18"/>
          <w:szCs w:val="18"/>
        </w:rPr>
      </w:pPr>
      <w:r>
        <w:rPr>
          <w:rFonts w:hint="eastAsia" w:ascii="宋体" w:hAnsi="宋体" w:cs="宋体"/>
          <w:sz w:val="18"/>
          <w:szCs w:val="18"/>
        </w:rPr>
        <w:t>不能对操作使用人员造成健康损害。</w:t>
      </w:r>
    </w:p>
    <w:p>
      <w:pPr>
        <w:numPr>
          <w:ilvl w:val="0"/>
          <w:numId w:val="5"/>
        </w:numPr>
        <w:spacing w:line="320" w:lineRule="exact"/>
        <w:rPr>
          <w:rFonts w:ascii="宋体" w:hAnsi="宋体" w:cs="宋体"/>
          <w:sz w:val="18"/>
          <w:szCs w:val="18"/>
        </w:rPr>
      </w:pPr>
      <w:r>
        <w:rPr>
          <w:rFonts w:hint="eastAsia" w:ascii="宋体" w:hAnsi="宋体" w:cs="宋体"/>
          <w:sz w:val="18"/>
          <w:szCs w:val="18"/>
        </w:rPr>
        <w:t>应适应高温、潮湿地带、热带地区和粉尘大的场所正常工作。</w:t>
      </w:r>
    </w:p>
    <w:p>
      <w:pPr>
        <w:pStyle w:val="5"/>
        <w:spacing w:line="320" w:lineRule="exact"/>
        <w:ind w:firstLine="320"/>
        <w:rPr>
          <w:rFonts w:cs="宋体"/>
          <w:b/>
          <w:sz w:val="18"/>
          <w:szCs w:val="18"/>
        </w:rPr>
      </w:pPr>
      <w:r>
        <w:rPr>
          <w:rFonts w:hint="eastAsia" w:cs="宋体"/>
          <w:b/>
          <w:sz w:val="18"/>
          <w:szCs w:val="18"/>
        </w:rPr>
        <w:t xml:space="preserve">1.6 IC卡识别系统 </w:t>
      </w:r>
    </w:p>
    <w:p>
      <w:pPr>
        <w:pStyle w:val="8"/>
        <w:spacing w:line="320" w:lineRule="exact"/>
        <w:ind w:firstLine="480"/>
        <w:rPr>
          <w:rFonts w:hAnsi="宋体" w:cs="宋体"/>
          <w:sz w:val="18"/>
          <w:szCs w:val="18"/>
        </w:rPr>
      </w:pPr>
      <w:r>
        <w:rPr>
          <w:rFonts w:hint="eastAsia" w:hAnsi="宋体" w:cs="宋体"/>
          <w:color w:val="000000"/>
          <w:sz w:val="18"/>
          <w:szCs w:val="18"/>
        </w:rPr>
        <w:t>系</w:t>
      </w:r>
      <w:r>
        <w:rPr>
          <w:rFonts w:hint="eastAsia" w:hAnsi="宋体" w:cs="宋体"/>
          <w:sz w:val="18"/>
          <w:szCs w:val="18"/>
        </w:rPr>
        <w:t>统包含自动发卡机，自动收卡机，智能IC卡，桌面读写器，IC卡写卡器及管理终端等设备。采用非接触式IC卡识别，可以实现IC卡登记备案、固定卡发卡、临时卡发卡、IC卡管理等操作。集卡车通过卡口时，将IC卡贴近IC卡读卡器，系统将自动读出IC卡里面的信息，并同时纪录下本次通过卡口的信息。</w:t>
      </w:r>
    </w:p>
    <w:p>
      <w:pPr>
        <w:pStyle w:val="17"/>
        <w:spacing w:line="320" w:lineRule="exact"/>
        <w:ind w:left="426" w:firstLine="0" w:firstLineChars="0"/>
        <w:rPr>
          <w:rFonts w:ascii="宋体" w:hAnsi="宋体" w:cs="宋体"/>
          <w:sz w:val="18"/>
          <w:szCs w:val="18"/>
        </w:rPr>
      </w:pPr>
      <w:r>
        <w:rPr>
          <w:rFonts w:hint="eastAsia" w:ascii="宋体" w:hAnsi="宋体" w:cs="宋体"/>
          <w:b/>
          <w:bCs/>
          <w:sz w:val="18"/>
          <w:szCs w:val="18"/>
        </w:rPr>
        <w:t>系统功能</w:t>
      </w:r>
    </w:p>
    <w:p>
      <w:pPr>
        <w:numPr>
          <w:ilvl w:val="0"/>
          <w:numId w:val="6"/>
        </w:numPr>
        <w:spacing w:line="320" w:lineRule="exact"/>
        <w:rPr>
          <w:rFonts w:ascii="宋体" w:hAnsi="宋体" w:cs="宋体"/>
          <w:sz w:val="18"/>
          <w:szCs w:val="18"/>
        </w:rPr>
      </w:pPr>
      <w:r>
        <w:rPr>
          <w:rFonts w:hint="eastAsia" w:ascii="宋体" w:hAnsi="宋体" w:cs="宋体"/>
          <w:sz w:val="18"/>
          <w:szCs w:val="18"/>
        </w:rPr>
        <w:t>IC卡写入数据保存时间应大于10年；</w:t>
      </w:r>
    </w:p>
    <w:p>
      <w:pPr>
        <w:numPr>
          <w:ilvl w:val="0"/>
          <w:numId w:val="6"/>
        </w:numPr>
        <w:spacing w:line="320" w:lineRule="exact"/>
        <w:rPr>
          <w:rFonts w:ascii="宋体" w:hAnsi="宋体" w:cs="宋体"/>
          <w:sz w:val="18"/>
          <w:szCs w:val="18"/>
        </w:rPr>
      </w:pPr>
      <w:r>
        <w:rPr>
          <w:rFonts w:hint="eastAsia" w:ascii="宋体" w:hAnsi="宋体" w:cs="宋体"/>
          <w:sz w:val="18"/>
          <w:szCs w:val="18"/>
        </w:rPr>
        <w:t>可重复写操作次数应不小于100,000次；</w:t>
      </w:r>
    </w:p>
    <w:p>
      <w:pPr>
        <w:numPr>
          <w:ilvl w:val="0"/>
          <w:numId w:val="6"/>
        </w:numPr>
        <w:spacing w:line="320" w:lineRule="exact"/>
        <w:rPr>
          <w:rFonts w:ascii="宋体" w:hAnsi="宋体" w:cs="宋体"/>
          <w:sz w:val="18"/>
          <w:szCs w:val="18"/>
        </w:rPr>
      </w:pPr>
      <w:r>
        <w:rPr>
          <w:rFonts w:hint="eastAsia" w:ascii="宋体" w:hAnsi="宋体" w:cs="宋体"/>
          <w:sz w:val="18"/>
          <w:szCs w:val="18"/>
        </w:rPr>
        <w:t>读写器具有较强的抗干扰、防尘、防震、防水能力。</w:t>
      </w:r>
    </w:p>
    <w:p>
      <w:pPr>
        <w:pStyle w:val="5"/>
        <w:spacing w:line="320" w:lineRule="exact"/>
        <w:ind w:firstLine="320"/>
        <w:rPr>
          <w:rFonts w:cs="宋体"/>
          <w:b/>
          <w:sz w:val="18"/>
          <w:szCs w:val="18"/>
        </w:rPr>
      </w:pPr>
      <w:r>
        <w:rPr>
          <w:rFonts w:hint="eastAsia" w:cs="宋体"/>
          <w:b/>
          <w:sz w:val="18"/>
          <w:szCs w:val="18"/>
        </w:rPr>
        <w:t>1.7 地磅称重系统</w:t>
      </w:r>
    </w:p>
    <w:p>
      <w:pPr>
        <w:spacing w:line="320" w:lineRule="exact"/>
        <w:ind w:firstLine="560"/>
        <w:rPr>
          <w:rFonts w:ascii="宋体" w:hAnsi="宋体" w:cs="宋体"/>
          <w:sz w:val="18"/>
          <w:szCs w:val="18"/>
        </w:rPr>
      </w:pPr>
      <w:r>
        <w:rPr>
          <w:rFonts w:hint="eastAsia" w:ascii="宋体" w:hAnsi="宋体" w:cs="宋体"/>
          <w:sz w:val="18"/>
          <w:szCs w:val="18"/>
        </w:rPr>
        <w:t>电子地磅数据采集系统通过数字式电子地磅采集通过通道的车辆重量信息。当车辆通过闸口车道时，电子地磅自动称出通过车辆的重量，并传送至智能闸口管控平台。本招标项目地磅由业主方提供，投标方提供数据接口的开发工作。</w:t>
      </w:r>
    </w:p>
    <w:p>
      <w:pPr>
        <w:pStyle w:val="17"/>
        <w:spacing w:line="320" w:lineRule="exact"/>
        <w:ind w:left="426" w:firstLine="0" w:firstLineChars="0"/>
        <w:rPr>
          <w:rFonts w:ascii="宋体" w:hAnsi="宋体" w:cs="宋体"/>
          <w:b/>
          <w:bCs/>
          <w:sz w:val="18"/>
          <w:szCs w:val="18"/>
        </w:rPr>
      </w:pPr>
      <w:r>
        <w:rPr>
          <w:rFonts w:hint="eastAsia" w:ascii="宋体" w:hAnsi="宋体" w:cs="宋体"/>
          <w:b/>
          <w:bCs/>
          <w:sz w:val="18"/>
          <w:szCs w:val="18"/>
        </w:rPr>
        <w:t>系统功能</w:t>
      </w:r>
    </w:p>
    <w:p>
      <w:pPr>
        <w:numPr>
          <w:ilvl w:val="0"/>
          <w:numId w:val="7"/>
        </w:numPr>
        <w:spacing w:line="320" w:lineRule="exact"/>
        <w:rPr>
          <w:rFonts w:ascii="宋体" w:hAnsi="宋体" w:cs="宋体"/>
          <w:sz w:val="18"/>
          <w:szCs w:val="18"/>
        </w:rPr>
      </w:pPr>
      <w:r>
        <w:rPr>
          <w:rFonts w:hint="eastAsia" w:ascii="宋体" w:hAnsi="宋体" w:cs="宋体"/>
          <w:sz w:val="18"/>
          <w:szCs w:val="18"/>
        </w:rPr>
        <w:t>系统应及时准确地采集到地磅示数；</w:t>
      </w:r>
    </w:p>
    <w:p>
      <w:pPr>
        <w:numPr>
          <w:ilvl w:val="0"/>
          <w:numId w:val="7"/>
        </w:numPr>
        <w:spacing w:line="320" w:lineRule="exact"/>
        <w:rPr>
          <w:rFonts w:ascii="宋体" w:hAnsi="宋体" w:cs="宋体"/>
          <w:sz w:val="18"/>
          <w:szCs w:val="18"/>
        </w:rPr>
      </w:pPr>
      <w:r>
        <w:rPr>
          <w:rFonts w:hint="eastAsia" w:ascii="宋体" w:hAnsi="宋体" w:cs="宋体"/>
          <w:sz w:val="18"/>
          <w:szCs w:val="18"/>
        </w:rPr>
        <w:t>系统应提供统一接口对所有所有地磅设备进行集成，并准确获取地磅采重数据；</w:t>
      </w:r>
    </w:p>
    <w:p>
      <w:pPr>
        <w:numPr>
          <w:ilvl w:val="0"/>
          <w:numId w:val="7"/>
        </w:numPr>
        <w:spacing w:line="320" w:lineRule="exact"/>
        <w:rPr>
          <w:rFonts w:ascii="宋体" w:hAnsi="宋体" w:cs="宋体"/>
          <w:sz w:val="18"/>
          <w:szCs w:val="18"/>
        </w:rPr>
      </w:pPr>
      <w:r>
        <w:rPr>
          <w:rFonts w:hint="eastAsia" w:ascii="宋体" w:hAnsi="宋体" w:cs="宋体"/>
          <w:sz w:val="18"/>
          <w:szCs w:val="18"/>
        </w:rPr>
        <w:t>车辆上磅时，需要确认车辆处于地磅的位置，并获取车辆重量。</w:t>
      </w:r>
    </w:p>
    <w:p>
      <w:pPr>
        <w:pStyle w:val="8"/>
        <w:spacing w:line="320" w:lineRule="exact"/>
        <w:ind w:firstLine="480"/>
        <w:rPr>
          <w:rFonts w:hAnsi="宋体" w:cs="宋体"/>
          <w:sz w:val="18"/>
          <w:szCs w:val="18"/>
        </w:rPr>
      </w:pPr>
    </w:p>
    <w:p>
      <w:pPr>
        <w:pStyle w:val="25"/>
        <w:spacing w:line="320" w:lineRule="exact"/>
        <w:jc w:val="left"/>
        <w:rPr>
          <w:rFonts w:ascii="宋体" w:hAnsi="宋体" w:cs="宋体"/>
          <w:sz w:val="18"/>
          <w:szCs w:val="18"/>
        </w:rPr>
      </w:pPr>
      <w:bookmarkStart w:id="104" w:name="_Toc17062"/>
      <w:r>
        <w:rPr>
          <w:rFonts w:hint="eastAsia" w:ascii="宋体" w:hAnsi="宋体" w:cs="宋体"/>
          <w:sz w:val="18"/>
          <w:szCs w:val="18"/>
        </w:rPr>
        <w:t>2、智能闸口控制系统</w:t>
      </w:r>
      <w:bookmarkEnd w:id="104"/>
      <w:r>
        <w:rPr>
          <w:rFonts w:hint="eastAsia" w:ascii="宋体" w:hAnsi="宋体" w:cs="宋体"/>
          <w:sz w:val="18"/>
          <w:szCs w:val="18"/>
        </w:rPr>
        <w:t xml:space="preserve">  </w:t>
      </w:r>
    </w:p>
    <w:p>
      <w:pPr>
        <w:spacing w:line="320" w:lineRule="exact"/>
        <w:ind w:firstLine="560"/>
        <w:rPr>
          <w:rFonts w:ascii="宋体" w:hAnsi="宋体" w:cs="宋体"/>
          <w:sz w:val="18"/>
          <w:szCs w:val="18"/>
        </w:rPr>
      </w:pPr>
    </w:p>
    <w:p>
      <w:pPr>
        <w:spacing w:line="320" w:lineRule="exact"/>
        <w:ind w:firstLine="560"/>
        <w:rPr>
          <w:rFonts w:ascii="宋体" w:hAnsi="宋体" w:cs="宋体"/>
          <w:sz w:val="18"/>
          <w:szCs w:val="18"/>
        </w:rPr>
      </w:pPr>
      <w:r>
        <w:rPr>
          <w:rFonts w:hint="eastAsia" w:ascii="宋体" w:hAnsi="宋体" w:cs="宋体"/>
          <w:sz w:val="18"/>
          <w:szCs w:val="18"/>
        </w:rPr>
        <w:t>智能闸口控制系统由车辆检测设备、车道一体化机、语音播报、电子栏杆、LED显示屏、防跟车、二维码扫描仪、UPS备用电源等设备组成。系统通过车辆检测设备对车辆定位信息进行采集，并向其他系统发送车辆到位信息，同时由工控机采集各种车辆信息后发送至控制室，并接收控制室发送的放行信息，通过指示屏及电子栏杆控制车辆的放行。</w:t>
      </w:r>
    </w:p>
    <w:p>
      <w:pPr>
        <w:pStyle w:val="5"/>
        <w:spacing w:line="320" w:lineRule="exact"/>
        <w:ind w:firstLine="320"/>
        <w:rPr>
          <w:rFonts w:cs="宋体"/>
          <w:b/>
          <w:sz w:val="18"/>
          <w:szCs w:val="18"/>
        </w:rPr>
      </w:pPr>
      <w:r>
        <w:rPr>
          <w:rFonts w:hint="eastAsia" w:cs="宋体"/>
          <w:b/>
          <w:sz w:val="18"/>
          <w:szCs w:val="18"/>
        </w:rPr>
        <w:t xml:space="preserve">2.1车辆检测设备  </w:t>
      </w:r>
    </w:p>
    <w:p>
      <w:pPr>
        <w:spacing w:line="320" w:lineRule="exact"/>
        <w:ind w:firstLine="560"/>
        <w:rPr>
          <w:rFonts w:ascii="宋体" w:hAnsi="宋体" w:cs="宋体"/>
          <w:color w:val="FF0000"/>
          <w:sz w:val="18"/>
          <w:szCs w:val="18"/>
        </w:rPr>
      </w:pPr>
      <w:r>
        <w:rPr>
          <w:rFonts w:hint="eastAsia" w:ascii="宋体" w:hAnsi="宋体" w:cs="宋体"/>
          <w:sz w:val="18"/>
          <w:szCs w:val="18"/>
        </w:rPr>
        <w:t>车辆检测设备由地感线圈、车辆检测器组成。车辆检测设备负责提供来车的检测信号，过车过程中，能够在不同装载状态下，稳定可靠检测各类集装箱车辆。</w:t>
      </w:r>
    </w:p>
    <w:p>
      <w:pPr>
        <w:pStyle w:val="5"/>
        <w:spacing w:line="320" w:lineRule="exact"/>
        <w:ind w:firstLine="320"/>
        <w:rPr>
          <w:rFonts w:cs="宋体"/>
          <w:b/>
          <w:sz w:val="18"/>
          <w:szCs w:val="18"/>
        </w:rPr>
      </w:pPr>
      <w:r>
        <w:rPr>
          <w:rFonts w:hint="eastAsia" w:cs="宋体"/>
          <w:b/>
          <w:sz w:val="18"/>
          <w:szCs w:val="18"/>
        </w:rPr>
        <w:t xml:space="preserve">2.2车道一体化机 </w:t>
      </w:r>
    </w:p>
    <w:p>
      <w:pPr>
        <w:spacing w:line="320" w:lineRule="exact"/>
        <w:ind w:firstLine="560"/>
        <w:rPr>
          <w:rFonts w:ascii="宋体" w:hAnsi="宋体" w:cs="宋体"/>
          <w:color w:val="0000FF"/>
          <w:sz w:val="18"/>
          <w:szCs w:val="18"/>
        </w:rPr>
      </w:pPr>
      <w:r>
        <w:rPr>
          <w:rFonts w:hint="eastAsia" w:ascii="宋体" w:hAnsi="宋体" w:cs="宋体"/>
          <w:sz w:val="18"/>
          <w:szCs w:val="18"/>
        </w:rPr>
        <w:t>车道一体化机安装在车道尾部左侧安全岛边，车辆停靠时车头中部所处位置，面向车道方向安置。高度须兼顾不同型号的货车，司机在停车时在不下车的前提下，能够方便的触碰到一体化机面板。一体化机上分别安装机柜空调、串口服务器、交换机、可视对讲机、工控机、可编程逻辑控制器、IC卡读卡器、小票打印设备等设备。</w:t>
      </w:r>
    </w:p>
    <w:p>
      <w:pPr>
        <w:pStyle w:val="17"/>
        <w:spacing w:line="320" w:lineRule="exact"/>
        <w:ind w:left="426" w:firstLine="0" w:firstLineChars="0"/>
        <w:rPr>
          <w:rFonts w:ascii="宋体" w:hAnsi="宋体" w:cs="宋体"/>
          <w:b/>
          <w:bCs/>
          <w:sz w:val="18"/>
          <w:szCs w:val="18"/>
        </w:rPr>
      </w:pPr>
      <w:r>
        <w:rPr>
          <w:rFonts w:hint="eastAsia" w:ascii="宋体" w:hAnsi="宋体" w:cs="宋体"/>
          <w:b/>
          <w:bCs/>
          <w:sz w:val="18"/>
          <w:szCs w:val="18"/>
        </w:rPr>
        <w:t>性能参数</w:t>
      </w:r>
    </w:p>
    <w:p>
      <w:pPr>
        <w:pStyle w:val="17"/>
        <w:numPr>
          <w:ilvl w:val="0"/>
          <w:numId w:val="8"/>
        </w:numPr>
        <w:spacing w:line="320" w:lineRule="exact"/>
        <w:ind w:firstLineChars="0"/>
        <w:rPr>
          <w:rFonts w:ascii="宋体" w:hAnsi="宋体" w:cs="宋体"/>
          <w:sz w:val="18"/>
          <w:szCs w:val="18"/>
        </w:rPr>
      </w:pPr>
      <w:r>
        <w:rPr>
          <w:rFonts w:hint="eastAsia" w:ascii="宋体" w:hAnsi="宋体" w:cs="宋体"/>
          <w:sz w:val="18"/>
          <w:szCs w:val="18"/>
        </w:rPr>
        <w:t>★车道一体化机应保证足够的严密性，应通过严格的IP56测试认证，并且能够提供认证证书复印件及原件备查；</w:t>
      </w:r>
    </w:p>
    <w:p>
      <w:pPr>
        <w:pStyle w:val="17"/>
        <w:numPr>
          <w:ilvl w:val="0"/>
          <w:numId w:val="8"/>
        </w:numPr>
        <w:spacing w:line="320" w:lineRule="exact"/>
        <w:ind w:firstLineChars="0"/>
        <w:rPr>
          <w:rFonts w:ascii="宋体" w:hAnsi="宋体" w:cs="宋体"/>
          <w:sz w:val="18"/>
          <w:szCs w:val="18"/>
        </w:rPr>
      </w:pPr>
      <w:r>
        <w:rPr>
          <w:rFonts w:hint="eastAsia" w:ascii="宋体" w:hAnsi="宋体" w:cs="宋体"/>
          <w:sz w:val="18"/>
          <w:szCs w:val="18"/>
        </w:rPr>
        <w:t>★车道一体化机应配置机柜空调，应具备加热、制冷、除湿功能；</w:t>
      </w:r>
    </w:p>
    <w:p>
      <w:pPr>
        <w:pStyle w:val="17"/>
        <w:numPr>
          <w:ilvl w:val="0"/>
          <w:numId w:val="8"/>
        </w:numPr>
        <w:spacing w:line="320" w:lineRule="exact"/>
        <w:ind w:firstLineChars="0"/>
        <w:rPr>
          <w:rFonts w:ascii="宋体" w:hAnsi="宋体" w:cs="宋体"/>
          <w:sz w:val="18"/>
          <w:szCs w:val="18"/>
        </w:rPr>
      </w:pPr>
      <w:r>
        <w:rPr>
          <w:rFonts w:hint="eastAsia" w:ascii="宋体" w:hAnsi="宋体" w:cs="宋体"/>
          <w:sz w:val="18"/>
          <w:szCs w:val="18"/>
        </w:rPr>
        <w:t>网络交换机应满足：24口，10/100/1000Base-T自适应以太网端口；</w:t>
      </w:r>
    </w:p>
    <w:p>
      <w:pPr>
        <w:pStyle w:val="17"/>
        <w:numPr>
          <w:ilvl w:val="0"/>
          <w:numId w:val="8"/>
        </w:numPr>
        <w:spacing w:line="320" w:lineRule="exact"/>
        <w:ind w:firstLineChars="0"/>
        <w:rPr>
          <w:rFonts w:ascii="宋体" w:hAnsi="宋体" w:cs="宋体"/>
          <w:sz w:val="18"/>
          <w:szCs w:val="18"/>
        </w:rPr>
      </w:pPr>
      <w:r>
        <w:rPr>
          <w:rFonts w:hint="eastAsia" w:ascii="宋体" w:hAnsi="宋体" w:cs="宋体"/>
          <w:sz w:val="18"/>
          <w:szCs w:val="18"/>
        </w:rPr>
        <w:t>一体化机外观设计美观大方，各硬件和软件接口都采用工业设计中的标准接口，具有很好的兼容性，易于以后扩展和系统升级；</w:t>
      </w:r>
    </w:p>
    <w:p>
      <w:pPr>
        <w:pStyle w:val="17"/>
        <w:numPr>
          <w:ilvl w:val="0"/>
          <w:numId w:val="8"/>
        </w:numPr>
        <w:spacing w:line="320" w:lineRule="exact"/>
        <w:ind w:firstLineChars="0"/>
        <w:rPr>
          <w:rFonts w:ascii="宋体" w:hAnsi="宋体" w:cs="宋体"/>
          <w:sz w:val="18"/>
          <w:szCs w:val="18"/>
        </w:rPr>
      </w:pPr>
      <w:r>
        <w:rPr>
          <w:rFonts w:hint="eastAsia" w:ascii="宋体" w:hAnsi="宋体" w:cs="宋体"/>
          <w:sz w:val="18"/>
          <w:szCs w:val="18"/>
        </w:rPr>
        <w:t>机柜内的设备支持热插拔，内部接线有标签，指示清晰，理线整洁明了，方便运维人员对故障部件进行更换等系统调整操作。机柜内部空间布局合理，强电和弱电线路布线合理，符合防雷要求，散热良好。</w:t>
      </w:r>
    </w:p>
    <w:p>
      <w:pPr>
        <w:pStyle w:val="5"/>
        <w:spacing w:line="320" w:lineRule="exact"/>
        <w:ind w:firstLine="320"/>
        <w:rPr>
          <w:rFonts w:cs="宋体"/>
          <w:b/>
          <w:sz w:val="18"/>
          <w:szCs w:val="18"/>
        </w:rPr>
      </w:pPr>
      <w:r>
        <w:rPr>
          <w:rFonts w:hint="eastAsia" w:cs="宋体"/>
          <w:b/>
          <w:sz w:val="18"/>
          <w:szCs w:val="18"/>
        </w:rPr>
        <w:t>2.3语音播报系统</w:t>
      </w:r>
    </w:p>
    <w:p>
      <w:pPr>
        <w:spacing w:line="320" w:lineRule="exact"/>
        <w:ind w:firstLine="560"/>
        <w:rPr>
          <w:rFonts w:ascii="宋体" w:hAnsi="宋体" w:cs="宋体"/>
          <w:sz w:val="18"/>
          <w:szCs w:val="18"/>
        </w:rPr>
      </w:pPr>
      <w:r>
        <w:rPr>
          <w:rFonts w:hint="eastAsia" w:ascii="宋体" w:hAnsi="宋体" w:cs="宋体"/>
          <w:sz w:val="18"/>
          <w:szCs w:val="18"/>
        </w:rPr>
        <w:t>语音播报系统由语音播报设备组成，能够播放指引车辆行驶的语音提醒信息，也可根据需要播报的声音节目号进行声音播报。</w:t>
      </w:r>
    </w:p>
    <w:p>
      <w:pPr>
        <w:spacing w:line="320" w:lineRule="exact"/>
        <w:ind w:firstLine="560"/>
        <w:rPr>
          <w:rFonts w:ascii="宋体" w:hAnsi="宋体" w:cs="宋体"/>
          <w:sz w:val="18"/>
          <w:szCs w:val="18"/>
        </w:rPr>
      </w:pPr>
      <w:r>
        <w:rPr>
          <w:rFonts w:hint="eastAsia" w:ascii="宋体" w:hAnsi="宋体" w:cs="宋体"/>
          <w:sz w:val="18"/>
          <w:szCs w:val="18"/>
        </w:rPr>
        <w:t>语音播报应支持预先灌入一段录音，接受服务器的反馈控制指令时播放录音，用于宣传、广播。</w:t>
      </w:r>
    </w:p>
    <w:p>
      <w:pPr>
        <w:pStyle w:val="5"/>
        <w:spacing w:line="320" w:lineRule="exact"/>
        <w:ind w:firstLine="320"/>
        <w:rPr>
          <w:rFonts w:cs="宋体"/>
          <w:b/>
          <w:sz w:val="18"/>
          <w:szCs w:val="18"/>
        </w:rPr>
      </w:pPr>
      <w:r>
        <w:rPr>
          <w:rFonts w:hint="eastAsia" w:cs="宋体"/>
          <w:b/>
          <w:sz w:val="18"/>
          <w:szCs w:val="18"/>
        </w:rPr>
        <w:t xml:space="preserve">2.4防跟车系统  </w:t>
      </w:r>
    </w:p>
    <w:p>
      <w:pPr>
        <w:spacing w:line="320" w:lineRule="exact"/>
        <w:ind w:firstLine="560"/>
        <w:rPr>
          <w:rFonts w:ascii="宋体" w:hAnsi="宋体" w:cs="宋体"/>
          <w:sz w:val="18"/>
          <w:szCs w:val="18"/>
        </w:rPr>
      </w:pPr>
      <w:r>
        <w:rPr>
          <w:rFonts w:hint="eastAsia" w:ascii="宋体" w:hAnsi="宋体" w:cs="宋体"/>
          <w:sz w:val="18"/>
          <w:szCs w:val="18"/>
        </w:rPr>
        <w:t>跟车情况会导致系统误触发、采集数据不准确等情况，尤其是地磅和车牌抓拍、电子车牌识读，同时也会导致通道采集时序混乱。由于码头通道空间有限，系统需满足防跟车的要求。系统主要由光幕设备和报警灯组成。</w:t>
      </w:r>
    </w:p>
    <w:p>
      <w:pPr>
        <w:spacing w:line="320" w:lineRule="exact"/>
        <w:ind w:firstLine="560"/>
        <w:rPr>
          <w:rFonts w:ascii="宋体" w:hAnsi="宋体" w:cs="宋体"/>
          <w:sz w:val="18"/>
          <w:szCs w:val="18"/>
        </w:rPr>
      </w:pPr>
      <w:r>
        <w:rPr>
          <w:rFonts w:hint="eastAsia" w:ascii="宋体" w:hAnsi="宋体" w:cs="宋体"/>
          <w:sz w:val="18"/>
          <w:szCs w:val="18"/>
        </w:rPr>
        <w:t>光幕设备主要通过红外光幕感应后车与闸口地磅距离，当前方车辆未完成作业时，后车进入触发防跟车系统，系统可通过声光报警设备进行报警，通知后车司机退出安全距离。</w:t>
      </w:r>
    </w:p>
    <w:p>
      <w:pPr>
        <w:pStyle w:val="8"/>
        <w:spacing w:line="320" w:lineRule="exact"/>
        <w:ind w:firstLine="181" w:firstLineChars="100"/>
        <w:rPr>
          <w:rFonts w:hAnsi="宋体"/>
          <w:sz w:val="18"/>
          <w:szCs w:val="18"/>
        </w:rPr>
      </w:pPr>
      <w:r>
        <w:rPr>
          <w:rFonts w:hint="eastAsia" w:hAnsi="宋体" w:cs="宋体"/>
          <w:b/>
          <w:bCs/>
          <w:sz w:val="18"/>
          <w:szCs w:val="18"/>
        </w:rPr>
        <w:t>性能参数</w:t>
      </w:r>
    </w:p>
    <w:p>
      <w:pPr>
        <w:pStyle w:val="18"/>
        <w:widowControl w:val="0"/>
        <w:numPr>
          <w:ilvl w:val="0"/>
          <w:numId w:val="9"/>
        </w:numPr>
        <w:spacing w:line="320" w:lineRule="exact"/>
        <w:ind w:firstLineChars="0"/>
        <w:jc w:val="both"/>
        <w:rPr>
          <w:rFonts w:ascii="宋体" w:hAnsi="宋体" w:cs="宋体"/>
          <w:sz w:val="18"/>
          <w:szCs w:val="18"/>
        </w:rPr>
      </w:pPr>
      <w:r>
        <w:rPr>
          <w:rFonts w:hint="eastAsia" w:ascii="宋体" w:hAnsi="宋体" w:cs="宋体"/>
          <w:sz w:val="18"/>
          <w:szCs w:val="18"/>
        </w:rPr>
        <w:t>检测高度1200MM，光轴数32，光轴间距40MM；</w:t>
      </w:r>
    </w:p>
    <w:p>
      <w:pPr>
        <w:pStyle w:val="18"/>
        <w:widowControl w:val="0"/>
        <w:numPr>
          <w:ilvl w:val="0"/>
          <w:numId w:val="9"/>
        </w:numPr>
        <w:spacing w:line="320" w:lineRule="exact"/>
        <w:ind w:firstLineChars="0"/>
        <w:jc w:val="both"/>
        <w:rPr>
          <w:rFonts w:ascii="宋体" w:hAnsi="宋体" w:cs="宋体"/>
          <w:sz w:val="18"/>
          <w:szCs w:val="18"/>
        </w:rPr>
      </w:pPr>
      <w:r>
        <w:rPr>
          <w:rFonts w:hint="eastAsia" w:ascii="宋体" w:hAnsi="宋体" w:cs="宋体"/>
          <w:sz w:val="18"/>
          <w:szCs w:val="18"/>
        </w:rPr>
        <w:t>输出方式:双NPN常闭输出；</w:t>
      </w:r>
    </w:p>
    <w:p>
      <w:pPr>
        <w:pStyle w:val="18"/>
        <w:widowControl w:val="0"/>
        <w:numPr>
          <w:ilvl w:val="0"/>
          <w:numId w:val="9"/>
        </w:numPr>
        <w:spacing w:line="320" w:lineRule="exact"/>
        <w:ind w:firstLineChars="0"/>
        <w:jc w:val="both"/>
        <w:rPr>
          <w:rFonts w:ascii="宋体" w:hAnsi="宋体" w:cs="宋体"/>
          <w:sz w:val="18"/>
          <w:szCs w:val="18"/>
        </w:rPr>
      </w:pPr>
      <w:r>
        <w:rPr>
          <w:rFonts w:hint="eastAsia" w:ascii="宋体" w:hAnsi="宋体" w:cs="宋体"/>
          <w:sz w:val="18"/>
          <w:szCs w:val="18"/>
        </w:rPr>
        <w:t>加热外壳。</w:t>
      </w:r>
    </w:p>
    <w:p>
      <w:pPr>
        <w:pStyle w:val="5"/>
        <w:spacing w:line="320" w:lineRule="exact"/>
        <w:ind w:firstLine="320"/>
        <w:rPr>
          <w:rFonts w:cs="宋体"/>
          <w:b/>
          <w:sz w:val="18"/>
          <w:szCs w:val="18"/>
        </w:rPr>
      </w:pPr>
      <w:r>
        <w:rPr>
          <w:rFonts w:hint="eastAsia" w:cs="宋体"/>
          <w:b/>
          <w:sz w:val="18"/>
          <w:szCs w:val="18"/>
        </w:rPr>
        <w:t xml:space="preserve">2.5电子栏杆  </w:t>
      </w:r>
    </w:p>
    <w:p>
      <w:pPr>
        <w:spacing w:line="320" w:lineRule="exact"/>
        <w:ind w:firstLine="560"/>
        <w:rPr>
          <w:rFonts w:ascii="宋体" w:hAnsi="宋体" w:cs="宋体"/>
          <w:sz w:val="18"/>
          <w:szCs w:val="18"/>
        </w:rPr>
      </w:pPr>
      <w:r>
        <w:rPr>
          <w:rFonts w:hint="eastAsia" w:ascii="宋体" w:hAnsi="宋体" w:cs="宋体"/>
          <w:sz w:val="18"/>
          <w:szCs w:val="18"/>
        </w:rPr>
        <w:t>本招标项目电子栏杆由业主方提供，投标方提供电子栏杆控制系统设备及数据接口的开发工作。</w:t>
      </w:r>
    </w:p>
    <w:p>
      <w:pPr>
        <w:spacing w:line="320" w:lineRule="exact"/>
        <w:ind w:firstLine="560"/>
        <w:rPr>
          <w:rFonts w:ascii="宋体" w:hAnsi="宋体" w:cs="宋体"/>
          <w:sz w:val="18"/>
          <w:szCs w:val="18"/>
        </w:rPr>
      </w:pPr>
      <w:r>
        <w:rPr>
          <w:rFonts w:hint="eastAsia" w:ascii="宋体" w:hAnsi="宋体" w:cs="宋体"/>
          <w:sz w:val="18"/>
          <w:szCs w:val="18"/>
        </w:rPr>
        <w:t>技术要求：</w:t>
      </w:r>
    </w:p>
    <w:p>
      <w:pPr>
        <w:spacing w:line="320" w:lineRule="exact"/>
        <w:ind w:firstLine="560"/>
        <w:rPr>
          <w:rFonts w:ascii="宋体" w:hAnsi="宋体" w:cs="宋体"/>
          <w:color w:val="0070C0"/>
          <w:sz w:val="18"/>
          <w:szCs w:val="18"/>
        </w:rPr>
      </w:pPr>
      <w:r>
        <w:rPr>
          <w:rFonts w:hint="eastAsia" w:ascii="宋体" w:hAnsi="宋体" w:cs="宋体"/>
          <w:sz w:val="18"/>
          <w:szCs w:val="18"/>
        </w:rPr>
        <w:t>★为满足智能卡口系统后期升级及运维方面的需求，该设备需以带网络接口的PLC来控制电子栏杆的自动抬、落，及监听电子栏杆抬、落状态。</w:t>
      </w:r>
    </w:p>
    <w:p>
      <w:pPr>
        <w:pStyle w:val="5"/>
        <w:spacing w:line="320" w:lineRule="exact"/>
        <w:ind w:firstLine="320"/>
        <w:rPr>
          <w:rFonts w:cs="宋体"/>
          <w:b/>
          <w:sz w:val="18"/>
          <w:szCs w:val="18"/>
        </w:rPr>
      </w:pPr>
      <w:r>
        <w:rPr>
          <w:rFonts w:hint="eastAsia" w:cs="宋体"/>
          <w:b/>
          <w:sz w:val="18"/>
          <w:szCs w:val="18"/>
        </w:rPr>
        <w:t xml:space="preserve">2.6串口服务器  </w:t>
      </w:r>
    </w:p>
    <w:p>
      <w:pPr>
        <w:spacing w:line="320" w:lineRule="exact"/>
        <w:ind w:firstLine="424" w:firstLineChars="236"/>
        <w:rPr>
          <w:rFonts w:ascii="宋体" w:hAnsi="宋体" w:cs="宋体"/>
          <w:color w:val="0000FF"/>
          <w:sz w:val="18"/>
          <w:szCs w:val="18"/>
        </w:rPr>
      </w:pPr>
      <w:r>
        <w:rPr>
          <w:rFonts w:hint="eastAsia" w:ascii="宋体" w:hAnsi="宋体" w:cs="宋体"/>
          <w:sz w:val="18"/>
          <w:szCs w:val="18"/>
        </w:rPr>
        <w:t>串口服务器用于将控制单元的串口信号转化为网络信号，再通过交换机接入智能闸口控制系统。</w:t>
      </w:r>
    </w:p>
    <w:p>
      <w:pPr>
        <w:spacing w:line="320" w:lineRule="exact"/>
        <w:ind w:firstLine="560"/>
        <w:rPr>
          <w:rFonts w:ascii="宋体" w:hAnsi="宋体" w:cs="宋体"/>
          <w:sz w:val="18"/>
          <w:szCs w:val="18"/>
        </w:rPr>
      </w:pPr>
      <w:r>
        <w:rPr>
          <w:rFonts w:hint="eastAsia" w:ascii="宋体" w:hAnsi="宋体" w:cs="宋体"/>
          <w:b/>
          <w:bCs/>
          <w:sz w:val="18"/>
          <w:szCs w:val="18"/>
        </w:rPr>
        <w:t>性能参数</w:t>
      </w:r>
    </w:p>
    <w:p>
      <w:pPr>
        <w:pStyle w:val="17"/>
        <w:numPr>
          <w:ilvl w:val="0"/>
          <w:numId w:val="10"/>
        </w:numPr>
        <w:spacing w:line="320" w:lineRule="exact"/>
        <w:ind w:firstLineChars="0"/>
        <w:rPr>
          <w:rFonts w:ascii="宋体" w:hAnsi="宋体" w:cs="宋体"/>
          <w:sz w:val="18"/>
          <w:szCs w:val="18"/>
        </w:rPr>
      </w:pPr>
      <w:r>
        <w:rPr>
          <w:rFonts w:hint="eastAsia" w:ascii="宋体" w:hAnsi="宋体" w:cs="宋体"/>
          <w:sz w:val="18"/>
          <w:szCs w:val="18"/>
        </w:rPr>
        <w:t>★应具备 2 个 10/100Mbps 自适应以太网口；</w:t>
      </w:r>
    </w:p>
    <w:p>
      <w:pPr>
        <w:pStyle w:val="17"/>
        <w:numPr>
          <w:ilvl w:val="0"/>
          <w:numId w:val="10"/>
        </w:numPr>
        <w:spacing w:line="320" w:lineRule="exact"/>
        <w:ind w:firstLineChars="0"/>
        <w:rPr>
          <w:rFonts w:ascii="宋体" w:hAnsi="宋体" w:cs="宋体"/>
          <w:sz w:val="18"/>
          <w:szCs w:val="18"/>
        </w:rPr>
      </w:pPr>
      <w:r>
        <w:rPr>
          <w:rFonts w:hint="eastAsia" w:ascii="宋体" w:hAnsi="宋体" w:cs="宋体"/>
          <w:sz w:val="18"/>
          <w:szCs w:val="18"/>
        </w:rPr>
        <w:t>支持 8 个 RS-232/422/485 串行通讯端口；</w:t>
      </w:r>
    </w:p>
    <w:p>
      <w:pPr>
        <w:pStyle w:val="17"/>
        <w:numPr>
          <w:ilvl w:val="0"/>
          <w:numId w:val="10"/>
        </w:numPr>
        <w:spacing w:line="320" w:lineRule="exact"/>
        <w:ind w:firstLineChars="0"/>
        <w:rPr>
          <w:rFonts w:ascii="宋体" w:hAnsi="宋体" w:cs="宋体"/>
          <w:sz w:val="18"/>
          <w:szCs w:val="18"/>
        </w:rPr>
      </w:pPr>
      <w:r>
        <w:rPr>
          <w:rFonts w:hint="eastAsia" w:ascii="宋体" w:hAnsi="宋体" w:cs="宋体"/>
          <w:sz w:val="18"/>
          <w:szCs w:val="18"/>
        </w:rPr>
        <w:t>支持 DIN 导轨安装或壁挂安装。</w:t>
      </w:r>
    </w:p>
    <w:p>
      <w:pPr>
        <w:pStyle w:val="5"/>
        <w:spacing w:line="320" w:lineRule="exact"/>
        <w:ind w:firstLine="320"/>
        <w:rPr>
          <w:rFonts w:cs="宋体"/>
          <w:b/>
          <w:sz w:val="18"/>
          <w:szCs w:val="18"/>
        </w:rPr>
      </w:pPr>
      <w:bookmarkStart w:id="105" w:name="_Toc8676927"/>
      <w:r>
        <w:rPr>
          <w:rFonts w:hint="eastAsia" w:cs="宋体"/>
          <w:b/>
          <w:sz w:val="18"/>
          <w:szCs w:val="18"/>
        </w:rPr>
        <w:t>2.7车道红绿灯</w:t>
      </w:r>
    </w:p>
    <w:p>
      <w:pPr>
        <w:spacing w:line="320" w:lineRule="exact"/>
        <w:ind w:firstLine="424" w:firstLineChars="236"/>
        <w:rPr>
          <w:rFonts w:ascii="宋体" w:hAnsi="宋体" w:cs="宋体"/>
          <w:sz w:val="18"/>
          <w:szCs w:val="18"/>
        </w:rPr>
      </w:pPr>
      <w:r>
        <w:rPr>
          <w:rFonts w:hint="eastAsia" w:ascii="宋体" w:hAnsi="宋体" w:cs="宋体"/>
          <w:sz w:val="18"/>
          <w:szCs w:val="18"/>
        </w:rPr>
        <w:t>在每条车道上安装一个红绿灯，实现与电子栏杆联动，并显示放行情况的功能。</w:t>
      </w:r>
    </w:p>
    <w:p>
      <w:pPr>
        <w:spacing w:line="320" w:lineRule="exact"/>
        <w:ind w:firstLine="560"/>
        <w:rPr>
          <w:rFonts w:ascii="宋体" w:hAnsi="宋体" w:cs="宋体"/>
          <w:sz w:val="18"/>
          <w:szCs w:val="18"/>
        </w:rPr>
      </w:pPr>
      <w:r>
        <w:rPr>
          <w:rFonts w:hint="eastAsia" w:ascii="宋体" w:hAnsi="宋体" w:cs="宋体"/>
          <w:b/>
          <w:bCs/>
          <w:sz w:val="18"/>
          <w:szCs w:val="18"/>
        </w:rPr>
        <w:t>性能参数</w:t>
      </w:r>
    </w:p>
    <w:p>
      <w:pPr>
        <w:pStyle w:val="17"/>
        <w:numPr>
          <w:ilvl w:val="0"/>
          <w:numId w:val="11"/>
        </w:numPr>
        <w:spacing w:line="320" w:lineRule="exact"/>
        <w:ind w:firstLineChars="0"/>
        <w:rPr>
          <w:rFonts w:ascii="宋体" w:hAnsi="宋体" w:cs="宋体"/>
          <w:sz w:val="18"/>
          <w:szCs w:val="18"/>
        </w:rPr>
      </w:pPr>
      <w:r>
        <w:rPr>
          <w:rFonts w:hint="eastAsia" w:ascii="宋体" w:hAnsi="宋体" w:cs="宋体"/>
          <w:sz w:val="18"/>
          <w:szCs w:val="18"/>
        </w:rPr>
        <w:t>红绿灯状态可与道闸状态同步，抬杆自动转换为绿灯、落杆自动转换为红灯。</w:t>
      </w:r>
    </w:p>
    <w:p>
      <w:pPr>
        <w:pStyle w:val="17"/>
        <w:numPr>
          <w:ilvl w:val="0"/>
          <w:numId w:val="11"/>
        </w:numPr>
        <w:spacing w:line="320" w:lineRule="exact"/>
        <w:ind w:firstLineChars="0"/>
        <w:rPr>
          <w:rFonts w:ascii="宋体" w:hAnsi="宋体" w:cs="宋体"/>
          <w:sz w:val="18"/>
          <w:szCs w:val="18"/>
        </w:rPr>
      </w:pPr>
      <w:r>
        <w:rPr>
          <w:rFonts w:hint="eastAsia" w:ascii="宋体" w:hAnsi="宋体" w:cs="宋体"/>
          <w:sz w:val="18"/>
          <w:szCs w:val="18"/>
        </w:rPr>
        <w:t>红绿灯只受道闸状态控制，不被其他控制单元控制。</w:t>
      </w:r>
    </w:p>
    <w:p>
      <w:pPr>
        <w:pStyle w:val="5"/>
        <w:spacing w:line="320" w:lineRule="exact"/>
        <w:ind w:firstLine="320"/>
        <w:rPr>
          <w:rFonts w:cs="宋体"/>
          <w:b/>
          <w:sz w:val="18"/>
          <w:szCs w:val="18"/>
        </w:rPr>
      </w:pPr>
      <w:r>
        <w:rPr>
          <w:rFonts w:hint="eastAsia" w:cs="宋体"/>
          <w:b/>
          <w:sz w:val="18"/>
          <w:szCs w:val="18"/>
        </w:rPr>
        <w:t>2.8可视对讲</w:t>
      </w:r>
      <w:bookmarkEnd w:id="105"/>
      <w:r>
        <w:rPr>
          <w:rFonts w:hint="eastAsia" w:cs="宋体"/>
          <w:b/>
          <w:sz w:val="18"/>
          <w:szCs w:val="18"/>
        </w:rPr>
        <w:t xml:space="preserve">系统  </w:t>
      </w:r>
    </w:p>
    <w:p>
      <w:pPr>
        <w:spacing w:line="320" w:lineRule="exact"/>
        <w:ind w:firstLine="560"/>
        <w:rPr>
          <w:rFonts w:ascii="宋体" w:hAnsi="宋体" w:cs="宋体"/>
          <w:color w:val="0000FF"/>
          <w:sz w:val="18"/>
          <w:szCs w:val="18"/>
        </w:rPr>
      </w:pPr>
      <w:r>
        <w:rPr>
          <w:rFonts w:hint="eastAsia" w:ascii="宋体" w:hAnsi="宋体" w:cs="宋体"/>
          <w:sz w:val="18"/>
          <w:szCs w:val="18"/>
        </w:rPr>
        <w:t>可视对讲系统是智能闸口的组成部分，能有效处理异常状况。监管中心操作人员可以通过分机镜头清晰查看到司机所持身份证、通道状态等图像。当通道通行出现异常或者监管中心操作人员不能处理现场通道的异常情况时，可以接通与司机的可视对讲设备，处理异常情况。能保证闸口车道上司机和监管中心操作人员能够进行清晰的语音和视频对话。</w:t>
      </w:r>
    </w:p>
    <w:p>
      <w:pPr>
        <w:spacing w:line="320" w:lineRule="exact"/>
        <w:ind w:firstLine="562"/>
        <w:rPr>
          <w:rFonts w:ascii="宋体" w:hAnsi="宋体" w:cs="宋体"/>
          <w:b/>
          <w:color w:val="0070C0"/>
          <w:sz w:val="18"/>
          <w:szCs w:val="18"/>
        </w:rPr>
      </w:pPr>
      <w:r>
        <w:rPr>
          <w:rFonts w:hint="eastAsia" w:ascii="宋体" w:hAnsi="宋体" w:cs="宋体"/>
          <w:b/>
          <w:sz w:val="18"/>
          <w:szCs w:val="18"/>
        </w:rPr>
        <w:t>性能参数</w:t>
      </w:r>
    </w:p>
    <w:p>
      <w:pPr>
        <w:pStyle w:val="17"/>
        <w:numPr>
          <w:ilvl w:val="0"/>
          <w:numId w:val="12"/>
        </w:numPr>
        <w:spacing w:line="320" w:lineRule="exact"/>
        <w:ind w:firstLineChars="0"/>
        <w:rPr>
          <w:rFonts w:ascii="宋体" w:hAnsi="宋体" w:cs="宋体"/>
          <w:sz w:val="18"/>
          <w:szCs w:val="18"/>
        </w:rPr>
      </w:pPr>
      <w:r>
        <w:rPr>
          <w:rFonts w:hint="eastAsia" w:ascii="宋体" w:hAnsi="宋体" w:cs="宋体"/>
          <w:sz w:val="18"/>
          <w:szCs w:val="18"/>
        </w:rPr>
        <w:t>行业认证：防护等级应不低于IP65；</w:t>
      </w:r>
    </w:p>
    <w:p>
      <w:pPr>
        <w:pStyle w:val="17"/>
        <w:numPr>
          <w:ilvl w:val="0"/>
          <w:numId w:val="12"/>
        </w:numPr>
        <w:spacing w:line="320" w:lineRule="exact"/>
        <w:ind w:firstLineChars="0"/>
        <w:rPr>
          <w:rFonts w:ascii="宋体" w:hAnsi="宋体" w:cs="宋体"/>
          <w:sz w:val="18"/>
          <w:szCs w:val="18"/>
        </w:rPr>
      </w:pPr>
      <w:r>
        <w:rPr>
          <w:rFonts w:hint="eastAsia" w:ascii="宋体" w:hAnsi="宋体" w:cs="宋体"/>
          <w:sz w:val="18"/>
          <w:szCs w:val="18"/>
        </w:rPr>
        <w:t>设备应具备智能语音扩展接口；</w:t>
      </w:r>
    </w:p>
    <w:p>
      <w:pPr>
        <w:pStyle w:val="17"/>
        <w:numPr>
          <w:ilvl w:val="0"/>
          <w:numId w:val="12"/>
        </w:numPr>
        <w:spacing w:line="320" w:lineRule="exact"/>
        <w:ind w:firstLineChars="0"/>
        <w:rPr>
          <w:rFonts w:ascii="宋体" w:hAnsi="宋体" w:cs="宋体"/>
          <w:sz w:val="18"/>
          <w:szCs w:val="18"/>
        </w:rPr>
      </w:pPr>
      <w:r>
        <w:rPr>
          <w:rFonts w:hint="eastAsia" w:ascii="宋体" w:hAnsi="宋体" w:cs="宋体"/>
          <w:sz w:val="18"/>
          <w:szCs w:val="18"/>
        </w:rPr>
        <w:t>应采用先进的回音消除技术，高清晰度双向对讲；</w:t>
      </w:r>
    </w:p>
    <w:p>
      <w:pPr>
        <w:pStyle w:val="17"/>
        <w:numPr>
          <w:ilvl w:val="0"/>
          <w:numId w:val="12"/>
        </w:numPr>
        <w:spacing w:line="320" w:lineRule="exact"/>
        <w:ind w:firstLineChars="0"/>
        <w:rPr>
          <w:rFonts w:ascii="宋体" w:hAnsi="宋体" w:cs="宋体"/>
          <w:sz w:val="18"/>
          <w:szCs w:val="18"/>
        </w:rPr>
      </w:pPr>
      <w:r>
        <w:rPr>
          <w:rFonts w:hint="eastAsia" w:ascii="宋体" w:hAnsi="宋体" w:cs="宋体"/>
          <w:sz w:val="18"/>
          <w:szCs w:val="18"/>
        </w:rPr>
        <w:t>★应配置两条SIP线路 ，支持POE供电 ，支持全双工免提通话。</w:t>
      </w:r>
    </w:p>
    <w:p>
      <w:pPr>
        <w:pStyle w:val="5"/>
        <w:spacing w:line="320" w:lineRule="exact"/>
        <w:ind w:firstLine="320"/>
        <w:rPr>
          <w:rFonts w:cs="宋体"/>
          <w:b/>
          <w:sz w:val="18"/>
          <w:szCs w:val="18"/>
        </w:rPr>
      </w:pPr>
      <w:bookmarkStart w:id="106" w:name="_Toc8676919"/>
      <w:bookmarkStart w:id="107" w:name="_Toc8676928"/>
      <w:r>
        <w:rPr>
          <w:rFonts w:hint="eastAsia" w:cs="宋体"/>
          <w:b/>
          <w:sz w:val="18"/>
          <w:szCs w:val="18"/>
        </w:rPr>
        <w:t>2.9 二维码扫描识别系统</w:t>
      </w:r>
      <w:bookmarkEnd w:id="106"/>
      <w:r>
        <w:rPr>
          <w:rFonts w:hint="eastAsia" w:cs="宋体"/>
          <w:b/>
          <w:sz w:val="18"/>
          <w:szCs w:val="18"/>
        </w:rPr>
        <w:t xml:space="preserve">  </w:t>
      </w:r>
    </w:p>
    <w:p>
      <w:pPr>
        <w:spacing w:line="320" w:lineRule="exact"/>
        <w:ind w:firstLine="560"/>
        <w:rPr>
          <w:rFonts w:ascii="宋体" w:hAnsi="宋体" w:cs="宋体"/>
          <w:sz w:val="18"/>
          <w:szCs w:val="18"/>
        </w:rPr>
      </w:pPr>
      <w:r>
        <w:rPr>
          <w:rFonts w:hint="eastAsia" w:ascii="宋体" w:hAnsi="宋体" w:cs="宋体"/>
          <w:sz w:val="18"/>
          <w:szCs w:val="18"/>
        </w:rPr>
        <w:t>二维码扫描识别系统实现了对于一维、二维码的自动识别，该二维码扫描仪安装在通道一体化机柜上。系统采用固定式扫描仪，具备多种系统接口。</w:t>
      </w:r>
    </w:p>
    <w:p>
      <w:pPr>
        <w:spacing w:line="320" w:lineRule="exact"/>
        <w:ind w:firstLine="562"/>
        <w:rPr>
          <w:rFonts w:ascii="宋体" w:hAnsi="宋体" w:cs="宋体"/>
          <w:b/>
          <w:sz w:val="18"/>
          <w:szCs w:val="18"/>
        </w:rPr>
      </w:pPr>
      <w:r>
        <w:rPr>
          <w:rFonts w:hint="eastAsia" w:ascii="宋体" w:hAnsi="宋体" w:cs="宋体"/>
          <w:b/>
          <w:sz w:val="18"/>
          <w:szCs w:val="18"/>
        </w:rPr>
        <w:t>性能参数</w:t>
      </w:r>
    </w:p>
    <w:p>
      <w:pPr>
        <w:numPr>
          <w:ilvl w:val="0"/>
          <w:numId w:val="13"/>
        </w:numPr>
        <w:spacing w:line="320" w:lineRule="exact"/>
        <w:rPr>
          <w:rFonts w:ascii="宋体" w:hAnsi="宋体" w:cs="宋体"/>
          <w:sz w:val="18"/>
          <w:szCs w:val="18"/>
        </w:rPr>
      </w:pPr>
      <w:r>
        <w:rPr>
          <w:rFonts w:hint="eastAsia" w:ascii="宋体" w:hAnsi="宋体" w:cs="宋体"/>
          <w:sz w:val="18"/>
          <w:szCs w:val="18"/>
        </w:rPr>
        <w:t>多种接口一体化设计；</w:t>
      </w:r>
    </w:p>
    <w:p>
      <w:pPr>
        <w:numPr>
          <w:ilvl w:val="0"/>
          <w:numId w:val="13"/>
        </w:numPr>
        <w:spacing w:line="320" w:lineRule="exact"/>
        <w:rPr>
          <w:rFonts w:ascii="宋体" w:hAnsi="宋体" w:cs="宋体"/>
          <w:sz w:val="18"/>
          <w:szCs w:val="18"/>
        </w:rPr>
      </w:pPr>
      <w:r>
        <w:rPr>
          <w:rFonts w:hint="eastAsia" w:ascii="宋体" w:hAnsi="宋体" w:cs="宋体"/>
          <w:sz w:val="18"/>
          <w:szCs w:val="18"/>
        </w:rPr>
        <w:t>故障诊断指示装置：快速轻松查找故障原因，减少停工时间；</w:t>
      </w:r>
    </w:p>
    <w:p>
      <w:pPr>
        <w:numPr>
          <w:ilvl w:val="0"/>
          <w:numId w:val="13"/>
        </w:numPr>
        <w:spacing w:line="320" w:lineRule="exact"/>
        <w:rPr>
          <w:rFonts w:ascii="宋体" w:hAnsi="宋体" w:cs="宋体"/>
          <w:sz w:val="18"/>
          <w:szCs w:val="18"/>
        </w:rPr>
      </w:pPr>
      <w:r>
        <w:rPr>
          <w:rFonts w:hint="eastAsia" w:ascii="宋体" w:hAnsi="宋体" w:cs="宋体"/>
          <w:sz w:val="18"/>
          <w:szCs w:val="18"/>
        </w:rPr>
        <w:t>通过USB口或串口直接上电；</w:t>
      </w:r>
    </w:p>
    <w:p>
      <w:pPr>
        <w:numPr>
          <w:ilvl w:val="0"/>
          <w:numId w:val="13"/>
        </w:numPr>
        <w:spacing w:line="320" w:lineRule="exact"/>
        <w:rPr>
          <w:rFonts w:ascii="宋体" w:hAnsi="宋体" w:cs="宋体"/>
          <w:sz w:val="18"/>
          <w:szCs w:val="18"/>
        </w:rPr>
      </w:pPr>
      <w:r>
        <w:rPr>
          <w:rFonts w:hint="eastAsia" w:ascii="宋体" w:hAnsi="宋体" w:cs="宋体"/>
          <w:sz w:val="18"/>
          <w:szCs w:val="18"/>
        </w:rPr>
        <w:t>防尘性：密封以抵挡空气尘粒侵入。</w:t>
      </w:r>
    </w:p>
    <w:p>
      <w:pPr>
        <w:pStyle w:val="5"/>
        <w:spacing w:line="320" w:lineRule="exact"/>
        <w:ind w:firstLine="320"/>
        <w:rPr>
          <w:rFonts w:cs="宋体"/>
          <w:b/>
          <w:color w:val="FF0000"/>
          <w:sz w:val="18"/>
          <w:szCs w:val="18"/>
        </w:rPr>
      </w:pPr>
      <w:r>
        <w:rPr>
          <w:rFonts w:hint="eastAsia" w:cs="宋体"/>
          <w:b/>
          <w:sz w:val="18"/>
          <w:szCs w:val="18"/>
        </w:rPr>
        <w:t xml:space="preserve">2.10 LED显示屏系统  </w:t>
      </w:r>
    </w:p>
    <w:p>
      <w:pPr>
        <w:pStyle w:val="8"/>
        <w:spacing w:line="320" w:lineRule="exact"/>
        <w:ind w:firstLine="360" w:firstLineChars="200"/>
        <w:rPr>
          <w:rFonts w:hAnsi="宋体" w:cs="宋体"/>
          <w:sz w:val="18"/>
          <w:szCs w:val="18"/>
        </w:rPr>
      </w:pPr>
      <w:r>
        <w:rPr>
          <w:rFonts w:hint="eastAsia" w:hAnsi="宋体" w:cs="宋体"/>
          <w:sz w:val="18"/>
          <w:szCs w:val="18"/>
        </w:rPr>
        <w:t>Led显示屏建设分两个物理位置类型，分别为车道LED显示屏、车道LED引导屏。</w:t>
      </w:r>
    </w:p>
    <w:p>
      <w:pPr>
        <w:pStyle w:val="8"/>
        <w:spacing w:line="320" w:lineRule="exact"/>
        <w:ind w:firstLine="360" w:firstLineChars="200"/>
        <w:rPr>
          <w:rFonts w:hAnsi="宋体" w:cs="宋体"/>
          <w:sz w:val="18"/>
          <w:szCs w:val="18"/>
        </w:rPr>
      </w:pPr>
    </w:p>
    <w:p>
      <w:pPr>
        <w:pStyle w:val="17"/>
        <w:numPr>
          <w:ilvl w:val="0"/>
          <w:numId w:val="14"/>
        </w:numPr>
        <w:spacing w:line="320" w:lineRule="exact"/>
        <w:ind w:firstLine="360"/>
        <w:rPr>
          <w:rFonts w:ascii="宋体" w:hAnsi="宋体" w:cs="宋体"/>
          <w:sz w:val="18"/>
          <w:szCs w:val="18"/>
        </w:rPr>
      </w:pPr>
      <w:r>
        <w:rPr>
          <w:rFonts w:hint="eastAsia" w:ascii="宋体" w:hAnsi="宋体" w:cs="宋体"/>
          <w:sz w:val="18"/>
          <w:szCs w:val="18"/>
        </w:rPr>
        <w:t>在闸口各通道上方安装车道LED显示屏，作为显示通道业务、开闭等使用情况的提示。</w:t>
      </w:r>
    </w:p>
    <w:p>
      <w:pPr>
        <w:pStyle w:val="17"/>
        <w:spacing w:line="320" w:lineRule="exact"/>
        <w:ind w:left="426" w:firstLine="0" w:firstLineChars="0"/>
        <w:rPr>
          <w:rFonts w:ascii="宋体" w:hAnsi="宋体" w:cs="宋体"/>
          <w:b/>
          <w:bCs/>
          <w:sz w:val="18"/>
          <w:szCs w:val="18"/>
        </w:rPr>
      </w:pPr>
      <w:r>
        <w:rPr>
          <w:rFonts w:hint="eastAsia" w:ascii="宋体" w:hAnsi="宋体" w:cs="宋体"/>
          <w:b/>
          <w:bCs/>
          <w:sz w:val="18"/>
          <w:szCs w:val="18"/>
        </w:rPr>
        <w:t>系统功能</w:t>
      </w:r>
    </w:p>
    <w:p>
      <w:pPr>
        <w:numPr>
          <w:ilvl w:val="0"/>
          <w:numId w:val="15"/>
        </w:numPr>
        <w:spacing w:line="320" w:lineRule="exact"/>
        <w:rPr>
          <w:rFonts w:ascii="宋体" w:hAnsi="宋体" w:cs="宋体"/>
          <w:sz w:val="18"/>
          <w:szCs w:val="18"/>
        </w:rPr>
      </w:pPr>
      <w:r>
        <w:rPr>
          <w:rFonts w:hint="eastAsia" w:ascii="宋体" w:hAnsi="宋体" w:cs="宋体"/>
          <w:sz w:val="18"/>
          <w:szCs w:val="18"/>
        </w:rPr>
        <w:t>★通讯接口方式：网口；</w:t>
      </w:r>
    </w:p>
    <w:p>
      <w:pPr>
        <w:numPr>
          <w:ilvl w:val="0"/>
          <w:numId w:val="15"/>
        </w:numPr>
        <w:spacing w:line="320" w:lineRule="exact"/>
        <w:rPr>
          <w:rFonts w:ascii="宋体" w:hAnsi="宋体" w:cs="宋体"/>
          <w:sz w:val="18"/>
          <w:szCs w:val="18"/>
        </w:rPr>
      </w:pPr>
      <w:r>
        <w:rPr>
          <w:rFonts w:hint="eastAsia" w:ascii="宋体" w:hAnsi="宋体" w:cs="宋体"/>
          <w:sz w:val="18"/>
          <w:szCs w:val="18"/>
        </w:rPr>
        <w:t>系统能够通过LED引导屏显示各个通道的类型、状态、运行情况等信息；</w:t>
      </w:r>
    </w:p>
    <w:p>
      <w:pPr>
        <w:numPr>
          <w:ilvl w:val="0"/>
          <w:numId w:val="15"/>
        </w:numPr>
        <w:spacing w:line="320" w:lineRule="exact"/>
        <w:rPr>
          <w:rFonts w:ascii="宋体" w:hAnsi="宋体" w:cs="宋体"/>
          <w:sz w:val="18"/>
          <w:szCs w:val="18"/>
        </w:rPr>
      </w:pPr>
      <w:r>
        <w:rPr>
          <w:rFonts w:hint="eastAsia" w:ascii="宋体" w:hAnsi="宋体" w:cs="宋体"/>
          <w:sz w:val="18"/>
          <w:szCs w:val="18"/>
        </w:rPr>
        <w:t>操作人员通过LED引导屏系统客户端可以直接修改LED引导屏显示的引导信息；</w:t>
      </w:r>
    </w:p>
    <w:p>
      <w:pPr>
        <w:numPr>
          <w:ilvl w:val="0"/>
          <w:numId w:val="15"/>
        </w:numPr>
        <w:spacing w:line="320" w:lineRule="exact"/>
        <w:rPr>
          <w:rFonts w:ascii="宋体" w:hAnsi="宋体" w:cs="宋体"/>
          <w:sz w:val="18"/>
          <w:szCs w:val="18"/>
        </w:rPr>
      </w:pPr>
      <w:r>
        <w:rPr>
          <w:rFonts w:hint="eastAsia" w:ascii="宋体" w:hAnsi="宋体" w:cs="宋体"/>
          <w:sz w:val="18"/>
          <w:szCs w:val="18"/>
        </w:rPr>
        <w:t>系统能够查询、统计对LED引导屏显示内容控制的历史记录；</w:t>
      </w:r>
    </w:p>
    <w:p>
      <w:pPr>
        <w:numPr>
          <w:ilvl w:val="0"/>
          <w:numId w:val="15"/>
        </w:numPr>
        <w:spacing w:line="320" w:lineRule="exact"/>
        <w:rPr>
          <w:rFonts w:ascii="宋体" w:hAnsi="宋体" w:cs="宋体"/>
          <w:sz w:val="18"/>
          <w:szCs w:val="18"/>
        </w:rPr>
      </w:pPr>
      <w:r>
        <w:rPr>
          <w:rFonts w:hint="eastAsia" w:ascii="宋体" w:hAnsi="宋体" w:cs="宋体"/>
          <w:sz w:val="18"/>
          <w:szCs w:val="18"/>
        </w:rPr>
        <w:t>系统能够通过远程方式实现控制。</w:t>
      </w:r>
    </w:p>
    <w:p>
      <w:pPr>
        <w:pStyle w:val="8"/>
        <w:spacing w:line="320" w:lineRule="exact"/>
        <w:rPr>
          <w:rFonts w:hAnsi="宋体"/>
          <w:sz w:val="18"/>
          <w:szCs w:val="18"/>
        </w:rPr>
      </w:pPr>
    </w:p>
    <w:p>
      <w:pPr>
        <w:pStyle w:val="17"/>
        <w:numPr>
          <w:ilvl w:val="0"/>
          <w:numId w:val="14"/>
        </w:numPr>
        <w:spacing w:line="320" w:lineRule="exact"/>
        <w:ind w:firstLine="360"/>
        <w:rPr>
          <w:rFonts w:ascii="宋体" w:hAnsi="宋体" w:cs="宋体"/>
          <w:sz w:val="18"/>
          <w:szCs w:val="18"/>
        </w:rPr>
      </w:pPr>
      <w:r>
        <w:rPr>
          <w:rFonts w:hint="eastAsia" w:ascii="宋体" w:hAnsi="宋体" w:cs="宋体"/>
          <w:sz w:val="18"/>
          <w:szCs w:val="18"/>
        </w:rPr>
        <w:t>在闸口各通道电子挡杆处安装车道LED引导屏，显示过卡信息及司机操作提示等。</w:t>
      </w:r>
    </w:p>
    <w:p>
      <w:pPr>
        <w:pStyle w:val="17"/>
        <w:spacing w:line="320" w:lineRule="exact"/>
        <w:ind w:left="426" w:firstLine="0" w:firstLineChars="0"/>
        <w:rPr>
          <w:rFonts w:ascii="宋体" w:hAnsi="宋体" w:cs="宋体"/>
          <w:sz w:val="18"/>
          <w:szCs w:val="18"/>
        </w:rPr>
      </w:pPr>
      <w:r>
        <w:rPr>
          <w:rFonts w:hint="eastAsia" w:ascii="宋体" w:hAnsi="宋体" w:cs="宋体"/>
          <w:b/>
          <w:bCs/>
          <w:sz w:val="18"/>
          <w:szCs w:val="18"/>
        </w:rPr>
        <w:t>系统功能</w:t>
      </w:r>
    </w:p>
    <w:p>
      <w:pPr>
        <w:numPr>
          <w:ilvl w:val="0"/>
          <w:numId w:val="16"/>
        </w:numPr>
        <w:spacing w:line="320" w:lineRule="exact"/>
        <w:rPr>
          <w:rFonts w:ascii="宋体" w:hAnsi="宋体" w:cs="宋体"/>
          <w:sz w:val="18"/>
          <w:szCs w:val="18"/>
        </w:rPr>
      </w:pPr>
      <w:r>
        <w:rPr>
          <w:rFonts w:hint="eastAsia" w:ascii="宋体" w:hAnsi="宋体" w:cs="宋体"/>
          <w:sz w:val="18"/>
          <w:szCs w:val="18"/>
        </w:rPr>
        <w:t>★通讯接口方式：网口；</w:t>
      </w:r>
    </w:p>
    <w:p>
      <w:pPr>
        <w:numPr>
          <w:ilvl w:val="0"/>
          <w:numId w:val="16"/>
        </w:numPr>
        <w:spacing w:line="320" w:lineRule="exact"/>
        <w:rPr>
          <w:rFonts w:ascii="宋体" w:hAnsi="宋体" w:cs="宋体"/>
          <w:sz w:val="18"/>
          <w:szCs w:val="18"/>
        </w:rPr>
      </w:pPr>
      <w:r>
        <w:rPr>
          <w:rFonts w:hint="eastAsia" w:ascii="宋体" w:hAnsi="宋体" w:cs="宋体"/>
          <w:sz w:val="18"/>
          <w:szCs w:val="18"/>
        </w:rPr>
        <w:t>应能同时显示两行，每行6个汉字。提供多种显示方式，超过6个汉字可进行多屏显示；</w:t>
      </w:r>
    </w:p>
    <w:p>
      <w:pPr>
        <w:numPr>
          <w:ilvl w:val="0"/>
          <w:numId w:val="16"/>
        </w:numPr>
        <w:spacing w:line="320" w:lineRule="exact"/>
        <w:rPr>
          <w:rFonts w:ascii="宋体" w:hAnsi="宋体" w:cs="宋体"/>
          <w:sz w:val="18"/>
          <w:szCs w:val="18"/>
        </w:rPr>
      </w:pPr>
      <w:r>
        <w:rPr>
          <w:rFonts w:hint="eastAsia" w:ascii="宋体" w:hAnsi="宋体" w:cs="宋体"/>
          <w:sz w:val="18"/>
          <w:szCs w:val="18"/>
        </w:rPr>
        <w:t>字体美观清晰；</w:t>
      </w:r>
    </w:p>
    <w:p>
      <w:pPr>
        <w:numPr>
          <w:ilvl w:val="0"/>
          <w:numId w:val="16"/>
        </w:numPr>
        <w:spacing w:line="320" w:lineRule="exact"/>
        <w:rPr>
          <w:rFonts w:ascii="宋体" w:hAnsi="宋体" w:cs="宋体"/>
          <w:sz w:val="18"/>
          <w:szCs w:val="18"/>
        </w:rPr>
      </w:pPr>
      <w:r>
        <w:rPr>
          <w:rFonts w:hint="eastAsia" w:ascii="宋体" w:hAnsi="宋体" w:cs="宋体"/>
          <w:sz w:val="18"/>
          <w:szCs w:val="18"/>
        </w:rPr>
        <w:t>封装处涂有密封材料，确保不漏水；</w:t>
      </w:r>
    </w:p>
    <w:p>
      <w:pPr>
        <w:numPr>
          <w:ilvl w:val="0"/>
          <w:numId w:val="16"/>
        </w:numPr>
        <w:spacing w:line="320" w:lineRule="exact"/>
        <w:rPr>
          <w:rFonts w:ascii="宋体" w:hAnsi="宋体" w:cs="宋体"/>
          <w:sz w:val="18"/>
          <w:szCs w:val="18"/>
        </w:rPr>
      </w:pPr>
      <w:r>
        <w:rPr>
          <w:rFonts w:hint="eastAsia" w:ascii="宋体" w:hAnsi="宋体" w:cs="宋体"/>
          <w:sz w:val="18"/>
          <w:szCs w:val="18"/>
        </w:rPr>
        <w:t>显示屏防反光、防尘、防水、防震、防高温、防雷击干扰。</w:t>
      </w:r>
    </w:p>
    <w:p>
      <w:pPr>
        <w:pStyle w:val="8"/>
        <w:spacing w:line="320" w:lineRule="exact"/>
        <w:rPr>
          <w:rFonts w:hAnsi="宋体" w:cs="宋体"/>
          <w:sz w:val="18"/>
          <w:szCs w:val="18"/>
        </w:rPr>
      </w:pPr>
    </w:p>
    <w:p>
      <w:pPr>
        <w:pStyle w:val="5"/>
        <w:spacing w:line="320" w:lineRule="exact"/>
        <w:ind w:firstLine="320"/>
        <w:rPr>
          <w:rFonts w:cs="宋体"/>
          <w:b/>
          <w:sz w:val="18"/>
          <w:szCs w:val="18"/>
        </w:rPr>
      </w:pPr>
      <w:r>
        <w:rPr>
          <w:rFonts w:hint="eastAsia" w:cs="宋体"/>
          <w:b/>
          <w:sz w:val="18"/>
          <w:szCs w:val="18"/>
        </w:rPr>
        <w:t>2.11小票打印系统</w:t>
      </w:r>
      <w:bookmarkEnd w:id="107"/>
      <w:r>
        <w:rPr>
          <w:rFonts w:hint="eastAsia" w:cs="宋体"/>
          <w:b/>
          <w:sz w:val="18"/>
          <w:szCs w:val="18"/>
        </w:rPr>
        <w:t xml:space="preserve">  </w:t>
      </w:r>
    </w:p>
    <w:p>
      <w:pPr>
        <w:spacing w:line="320" w:lineRule="exact"/>
        <w:ind w:firstLine="560"/>
        <w:rPr>
          <w:rFonts w:ascii="宋体" w:hAnsi="宋体" w:cs="宋体"/>
          <w:sz w:val="18"/>
          <w:szCs w:val="18"/>
        </w:rPr>
      </w:pPr>
      <w:r>
        <w:rPr>
          <w:rFonts w:hint="eastAsia" w:ascii="宋体" w:hAnsi="宋体" w:cs="宋体"/>
          <w:sz w:val="18"/>
          <w:szCs w:val="18"/>
        </w:rPr>
        <w:t>根据现场实际需求，配备小票打印机，当车辆通过时，打印车辆相关信息、码头指令信息等给司机，指导司机行驶。</w:t>
      </w:r>
    </w:p>
    <w:p>
      <w:pPr>
        <w:pStyle w:val="17"/>
        <w:spacing w:line="320" w:lineRule="exact"/>
        <w:ind w:left="426" w:firstLine="0" w:firstLineChars="0"/>
        <w:rPr>
          <w:rFonts w:ascii="宋体" w:hAnsi="宋体" w:cs="宋体"/>
          <w:sz w:val="18"/>
          <w:szCs w:val="18"/>
        </w:rPr>
      </w:pPr>
      <w:r>
        <w:rPr>
          <w:rFonts w:hint="eastAsia" w:ascii="宋体" w:hAnsi="宋体" w:cs="宋体"/>
          <w:b/>
          <w:bCs/>
          <w:sz w:val="18"/>
          <w:szCs w:val="18"/>
        </w:rPr>
        <w:t>系统功能</w:t>
      </w:r>
    </w:p>
    <w:p>
      <w:pPr>
        <w:numPr>
          <w:ilvl w:val="0"/>
          <w:numId w:val="17"/>
        </w:numPr>
        <w:spacing w:line="320" w:lineRule="exact"/>
        <w:rPr>
          <w:rFonts w:ascii="宋体" w:hAnsi="宋体" w:cs="宋体"/>
          <w:sz w:val="18"/>
          <w:szCs w:val="18"/>
        </w:rPr>
      </w:pPr>
      <w:r>
        <w:rPr>
          <w:rFonts w:hint="eastAsia" w:ascii="宋体" w:hAnsi="宋体" w:cs="宋体"/>
          <w:sz w:val="18"/>
          <w:szCs w:val="18"/>
        </w:rPr>
        <w:t>应配备热敏小票打印机；</w:t>
      </w:r>
    </w:p>
    <w:p>
      <w:pPr>
        <w:numPr>
          <w:ilvl w:val="0"/>
          <w:numId w:val="17"/>
        </w:numPr>
        <w:spacing w:line="320" w:lineRule="exact"/>
        <w:rPr>
          <w:rFonts w:ascii="宋体" w:hAnsi="宋体" w:cs="宋体"/>
          <w:sz w:val="18"/>
          <w:szCs w:val="18"/>
        </w:rPr>
      </w:pPr>
      <w:r>
        <w:rPr>
          <w:rFonts w:hint="eastAsia" w:ascii="宋体" w:hAnsi="宋体" w:cs="宋体"/>
          <w:sz w:val="18"/>
          <w:szCs w:val="18"/>
        </w:rPr>
        <w:t>分辨率应不低于203DPIx203DPI；</w:t>
      </w:r>
    </w:p>
    <w:p>
      <w:pPr>
        <w:numPr>
          <w:ilvl w:val="0"/>
          <w:numId w:val="17"/>
        </w:numPr>
        <w:spacing w:line="320" w:lineRule="exact"/>
        <w:rPr>
          <w:rFonts w:ascii="宋体" w:hAnsi="宋体" w:cs="宋体"/>
          <w:sz w:val="18"/>
          <w:szCs w:val="18"/>
        </w:rPr>
      </w:pPr>
      <w:r>
        <w:rPr>
          <w:rFonts w:hint="eastAsia" w:ascii="宋体" w:hAnsi="宋体" w:cs="宋体"/>
          <w:sz w:val="18"/>
          <w:szCs w:val="18"/>
        </w:rPr>
        <w:t>应可自动全切、半切纸；</w:t>
      </w:r>
    </w:p>
    <w:p>
      <w:pPr>
        <w:numPr>
          <w:ilvl w:val="0"/>
          <w:numId w:val="17"/>
        </w:numPr>
        <w:spacing w:line="320" w:lineRule="exact"/>
        <w:rPr>
          <w:rFonts w:ascii="宋体" w:hAnsi="宋体" w:cs="宋体"/>
          <w:sz w:val="18"/>
          <w:szCs w:val="18"/>
        </w:rPr>
      </w:pPr>
      <w:r>
        <w:rPr>
          <w:rFonts w:hint="eastAsia" w:ascii="宋体" w:hAnsi="宋体" w:cs="宋体"/>
          <w:sz w:val="18"/>
          <w:szCs w:val="18"/>
        </w:rPr>
        <w:t>应达到工业等级，满足室外工作环境；</w:t>
      </w:r>
    </w:p>
    <w:p>
      <w:pPr>
        <w:numPr>
          <w:ilvl w:val="0"/>
          <w:numId w:val="17"/>
        </w:numPr>
        <w:spacing w:line="320" w:lineRule="exact"/>
        <w:rPr>
          <w:rFonts w:ascii="宋体" w:hAnsi="宋体" w:cs="宋体"/>
          <w:sz w:val="18"/>
          <w:szCs w:val="18"/>
        </w:rPr>
      </w:pPr>
      <w:r>
        <w:rPr>
          <w:rFonts w:hint="eastAsia" w:ascii="宋体" w:hAnsi="宋体" w:cs="宋体"/>
          <w:sz w:val="18"/>
          <w:szCs w:val="18"/>
        </w:rPr>
        <w:t>打印头寿命 ≧150Km ；</w:t>
      </w:r>
    </w:p>
    <w:p>
      <w:pPr>
        <w:numPr>
          <w:ilvl w:val="0"/>
          <w:numId w:val="17"/>
        </w:numPr>
        <w:spacing w:line="320" w:lineRule="exact"/>
        <w:rPr>
          <w:rFonts w:ascii="宋体" w:hAnsi="宋体" w:cs="宋体"/>
          <w:sz w:val="18"/>
          <w:szCs w:val="18"/>
        </w:rPr>
      </w:pPr>
      <w:r>
        <w:rPr>
          <w:rFonts w:hint="eastAsia" w:ascii="宋体" w:hAnsi="宋体" w:cs="宋体"/>
          <w:sz w:val="18"/>
          <w:szCs w:val="18"/>
        </w:rPr>
        <w:t>切刀寿命 &gt;200万次。</w:t>
      </w:r>
    </w:p>
    <w:p>
      <w:pPr>
        <w:pStyle w:val="5"/>
        <w:spacing w:line="320" w:lineRule="exact"/>
        <w:ind w:firstLine="320"/>
        <w:rPr>
          <w:rFonts w:cs="宋体"/>
          <w:b/>
          <w:sz w:val="18"/>
          <w:szCs w:val="18"/>
        </w:rPr>
      </w:pPr>
      <w:bookmarkStart w:id="108" w:name="_Toc8676929"/>
      <w:r>
        <w:rPr>
          <w:rFonts w:hint="eastAsia" w:cs="宋体"/>
          <w:b/>
          <w:sz w:val="18"/>
          <w:szCs w:val="18"/>
        </w:rPr>
        <w:t>2.12防雷系统</w:t>
      </w:r>
      <w:bookmarkEnd w:id="108"/>
    </w:p>
    <w:p>
      <w:pPr>
        <w:spacing w:line="320" w:lineRule="exact"/>
        <w:ind w:firstLine="560"/>
        <w:rPr>
          <w:rFonts w:ascii="宋体" w:hAnsi="宋体" w:cs="宋体"/>
          <w:sz w:val="18"/>
          <w:szCs w:val="18"/>
        </w:rPr>
      </w:pPr>
      <w:r>
        <w:rPr>
          <w:rFonts w:hint="eastAsia" w:ascii="宋体" w:hAnsi="宋体" w:cs="宋体"/>
          <w:sz w:val="18"/>
          <w:szCs w:val="18"/>
        </w:rPr>
        <w:t>本次项目建设在沿江码头区域，故系统应配置防雷设备。室外的前端设备需串接低压直流避雷器并有良好接地。</w:t>
      </w:r>
    </w:p>
    <w:p>
      <w:pPr>
        <w:pStyle w:val="5"/>
        <w:spacing w:line="320" w:lineRule="exact"/>
        <w:ind w:firstLine="320"/>
        <w:rPr>
          <w:rFonts w:cs="宋体"/>
          <w:b/>
          <w:sz w:val="18"/>
          <w:szCs w:val="18"/>
        </w:rPr>
      </w:pPr>
      <w:r>
        <w:rPr>
          <w:rFonts w:hint="eastAsia" w:cs="宋体"/>
          <w:b/>
          <w:sz w:val="18"/>
          <w:szCs w:val="18"/>
        </w:rPr>
        <w:t>2.13 UPS系统</w:t>
      </w:r>
    </w:p>
    <w:p>
      <w:pPr>
        <w:spacing w:line="320" w:lineRule="exact"/>
        <w:ind w:firstLine="560"/>
        <w:rPr>
          <w:rFonts w:ascii="宋体" w:hAnsi="宋体" w:cs="宋体"/>
          <w:sz w:val="18"/>
          <w:szCs w:val="18"/>
        </w:rPr>
      </w:pPr>
      <w:r>
        <w:rPr>
          <w:rFonts w:hint="eastAsia" w:ascii="宋体" w:hAnsi="宋体" w:cs="宋体"/>
          <w:sz w:val="18"/>
          <w:szCs w:val="18"/>
        </w:rPr>
        <w:t>本次项目配置的UPS应满足现场需求，不小于20KVA及后备电源一小时的正常使用要求，同时提供电源控制箱，闸口硬件设备全部由UPS不间断电源供电。</w:t>
      </w:r>
    </w:p>
    <w:p>
      <w:pPr>
        <w:pStyle w:val="8"/>
        <w:spacing w:line="320" w:lineRule="exact"/>
        <w:rPr>
          <w:rFonts w:hAnsi="宋体" w:cs="宋体"/>
          <w:b/>
          <w:bCs/>
          <w:sz w:val="18"/>
          <w:szCs w:val="18"/>
        </w:rPr>
      </w:pPr>
    </w:p>
    <w:p>
      <w:pPr>
        <w:pStyle w:val="29"/>
        <w:numPr>
          <w:ilvl w:val="0"/>
          <w:numId w:val="18"/>
        </w:numPr>
        <w:spacing w:line="320" w:lineRule="exact"/>
        <w:jc w:val="left"/>
        <w:rPr>
          <w:rFonts w:cs="宋体"/>
          <w:sz w:val="18"/>
          <w:szCs w:val="18"/>
        </w:rPr>
      </w:pPr>
      <w:bookmarkStart w:id="109" w:name="_Toc5077"/>
      <w:r>
        <w:rPr>
          <w:rFonts w:hint="eastAsia" w:cs="宋体"/>
          <w:sz w:val="18"/>
          <w:szCs w:val="18"/>
        </w:rPr>
        <w:t>智能卡口软件系统</w:t>
      </w:r>
      <w:bookmarkEnd w:id="109"/>
      <w:r>
        <w:rPr>
          <w:rFonts w:hint="eastAsia" w:cs="宋体"/>
          <w:sz w:val="18"/>
          <w:szCs w:val="18"/>
        </w:rPr>
        <w:t xml:space="preserve"> </w:t>
      </w:r>
    </w:p>
    <w:p>
      <w:pPr>
        <w:pStyle w:val="30"/>
        <w:spacing w:line="320" w:lineRule="exact"/>
        <w:ind w:firstLine="360" w:firstLineChars="200"/>
        <w:rPr>
          <w:rFonts w:ascii="宋体" w:hAnsi="宋体"/>
          <w:sz w:val="18"/>
          <w:szCs w:val="18"/>
        </w:rPr>
      </w:pPr>
      <w:r>
        <w:rPr>
          <w:rFonts w:hint="eastAsia" w:ascii="宋体" w:hAnsi="宋体"/>
          <w:sz w:val="18"/>
          <w:szCs w:val="18"/>
        </w:rPr>
        <w:t>系统具备对车道集中管理、作业集中监控、设备远程运维功能，系统采用BS架构实现对各车道采集数据的集中实时展示和操作界面，展示内容包含采集数据与图像数据，操作界面包含人工补采、人工干预放行等。系统需实现与TOS系统的数据对接，实现闸口作业自动放行。历史作业数据实现多种方式的查询统计，能以列表及图表方式进行展示。</w:t>
      </w:r>
    </w:p>
    <w:p>
      <w:pPr>
        <w:pStyle w:val="5"/>
        <w:spacing w:line="320" w:lineRule="exact"/>
        <w:ind w:firstLine="320"/>
        <w:rPr>
          <w:rFonts w:cs="宋体"/>
          <w:b/>
          <w:sz w:val="18"/>
          <w:szCs w:val="18"/>
        </w:rPr>
      </w:pPr>
      <w:r>
        <w:rPr>
          <w:rFonts w:hint="eastAsia" w:cs="宋体"/>
          <w:b/>
          <w:sz w:val="18"/>
          <w:szCs w:val="18"/>
        </w:rPr>
        <w:t>3.1智能报警模块</w:t>
      </w:r>
    </w:p>
    <w:p>
      <w:pPr>
        <w:spacing w:line="320" w:lineRule="exact"/>
        <w:ind w:firstLine="480"/>
        <w:rPr>
          <w:rFonts w:ascii="宋体" w:hAnsi="宋体" w:cs="宋体"/>
          <w:sz w:val="18"/>
          <w:szCs w:val="18"/>
        </w:rPr>
      </w:pPr>
      <w:r>
        <w:rPr>
          <w:rFonts w:hint="eastAsia" w:ascii="宋体" w:hAnsi="宋体" w:cs="宋体"/>
          <w:sz w:val="18"/>
          <w:szCs w:val="18"/>
        </w:rPr>
        <w:t xml:space="preserve">系统具备对前端采集硬件的实时监控，当前端采集设备故障时卡口系统可对故障设备进行颜色报警。 </w:t>
      </w:r>
    </w:p>
    <w:p>
      <w:pPr>
        <w:pStyle w:val="5"/>
        <w:spacing w:line="320" w:lineRule="exact"/>
        <w:ind w:firstLine="320"/>
        <w:rPr>
          <w:rFonts w:cs="宋体"/>
          <w:b/>
          <w:sz w:val="18"/>
          <w:szCs w:val="18"/>
        </w:rPr>
      </w:pPr>
      <w:r>
        <w:rPr>
          <w:rFonts w:hint="eastAsia" w:cs="宋体"/>
          <w:b/>
          <w:sz w:val="18"/>
          <w:szCs w:val="18"/>
        </w:rPr>
        <w:t>3.2数据交换模块</w:t>
      </w:r>
    </w:p>
    <w:p>
      <w:pPr>
        <w:spacing w:line="320" w:lineRule="exact"/>
        <w:ind w:firstLine="480"/>
        <w:rPr>
          <w:rFonts w:ascii="宋体" w:hAnsi="宋体" w:cs="宋体"/>
          <w:sz w:val="18"/>
          <w:szCs w:val="18"/>
        </w:rPr>
      </w:pPr>
      <w:r>
        <w:rPr>
          <w:rFonts w:hint="eastAsia" w:ascii="宋体" w:hAnsi="宋体" w:cs="宋体"/>
          <w:sz w:val="18"/>
          <w:szCs w:val="18"/>
        </w:rPr>
        <w:t>系统能整合需要发送的数据实时传给服务器、接收并执行来自服务器的指令（如抬杆、手动进行箱号车号抓拍识别等）、还具备灵活设置前端各设备启用状态、连接状态显示、手工提交等功能。对数据的交换能实现数据安全隔离，点对点或点对多消息只发送给目标接收端。系统最大限度保证设置灵活性、后续系统扩展性的需求。</w:t>
      </w:r>
    </w:p>
    <w:p>
      <w:pPr>
        <w:pStyle w:val="8"/>
        <w:spacing w:line="320" w:lineRule="exact"/>
        <w:rPr>
          <w:rFonts w:hAnsi="宋体"/>
          <w:sz w:val="18"/>
          <w:szCs w:val="18"/>
        </w:rPr>
      </w:pPr>
      <w:r>
        <w:rPr>
          <w:rFonts w:hint="eastAsia" w:hAnsi="宋体" w:cs="宋体"/>
          <w:sz w:val="18"/>
          <w:szCs w:val="18"/>
        </w:rPr>
        <w:t xml:space="preserve"> 系统能按照TOS系统对接要求定制开发，满足卡口自动化作业的数据交互。</w:t>
      </w:r>
    </w:p>
    <w:p>
      <w:pPr>
        <w:pStyle w:val="5"/>
        <w:spacing w:line="320" w:lineRule="exact"/>
        <w:ind w:firstLine="320"/>
        <w:rPr>
          <w:rFonts w:cs="宋体"/>
          <w:b/>
          <w:sz w:val="18"/>
          <w:szCs w:val="18"/>
        </w:rPr>
      </w:pPr>
      <w:r>
        <w:rPr>
          <w:rFonts w:hint="eastAsia" w:cs="宋体"/>
          <w:b/>
          <w:sz w:val="18"/>
          <w:szCs w:val="18"/>
        </w:rPr>
        <w:t>3.3数据监控模块</w:t>
      </w:r>
    </w:p>
    <w:p>
      <w:pPr>
        <w:numPr>
          <w:ilvl w:val="0"/>
          <w:numId w:val="19"/>
        </w:numPr>
        <w:spacing w:line="320" w:lineRule="exact"/>
        <w:rPr>
          <w:rFonts w:ascii="宋体" w:hAnsi="宋体" w:cs="宋体"/>
          <w:sz w:val="18"/>
          <w:szCs w:val="18"/>
        </w:rPr>
      </w:pPr>
      <w:r>
        <w:rPr>
          <w:rFonts w:hint="eastAsia" w:ascii="宋体" w:hAnsi="宋体" w:cs="宋体"/>
          <w:sz w:val="18"/>
          <w:szCs w:val="18"/>
        </w:rPr>
        <w:t>数据监控模块负责监控前端卡口采集数据和第三方平台系统的控制指令，系统能够解析各种采集数据和控制指令并存储到相应的表数据字段中；</w:t>
      </w:r>
    </w:p>
    <w:p>
      <w:pPr>
        <w:numPr>
          <w:ilvl w:val="0"/>
          <w:numId w:val="19"/>
        </w:numPr>
        <w:spacing w:line="320" w:lineRule="exact"/>
        <w:rPr>
          <w:rFonts w:ascii="宋体" w:hAnsi="宋体" w:cs="宋体"/>
          <w:sz w:val="18"/>
          <w:szCs w:val="18"/>
        </w:rPr>
      </w:pPr>
      <w:r>
        <w:rPr>
          <w:rFonts w:hint="eastAsia" w:ascii="宋体" w:hAnsi="宋体" w:cs="宋体"/>
          <w:sz w:val="18"/>
          <w:szCs w:val="18"/>
        </w:rPr>
        <w:t>系统能够实时接收前端采集系统的卡口采集数据并进行解析；</w:t>
      </w:r>
    </w:p>
    <w:p>
      <w:pPr>
        <w:numPr>
          <w:ilvl w:val="0"/>
          <w:numId w:val="19"/>
        </w:numPr>
        <w:spacing w:line="320" w:lineRule="exact"/>
        <w:rPr>
          <w:rFonts w:ascii="宋体" w:hAnsi="宋体" w:cs="宋体"/>
          <w:sz w:val="18"/>
          <w:szCs w:val="18"/>
        </w:rPr>
      </w:pPr>
      <w:r>
        <w:rPr>
          <w:rFonts w:hint="eastAsia" w:ascii="宋体" w:hAnsi="宋体" w:cs="宋体"/>
          <w:sz w:val="18"/>
          <w:szCs w:val="18"/>
        </w:rPr>
        <w:t>系统能够实时接收后台验放系统的控制信息并进行解析；</w:t>
      </w:r>
    </w:p>
    <w:p>
      <w:pPr>
        <w:numPr>
          <w:ilvl w:val="0"/>
          <w:numId w:val="19"/>
        </w:numPr>
        <w:spacing w:line="320" w:lineRule="exact"/>
        <w:rPr>
          <w:rFonts w:ascii="宋体" w:hAnsi="宋体" w:cs="宋体"/>
          <w:sz w:val="18"/>
          <w:szCs w:val="18"/>
        </w:rPr>
      </w:pPr>
      <w:r>
        <w:rPr>
          <w:rFonts w:hint="eastAsia" w:ascii="宋体" w:hAnsi="宋体" w:cs="宋体"/>
          <w:sz w:val="18"/>
          <w:szCs w:val="18"/>
        </w:rPr>
        <w:t>系统应具有完备的系统日志功能，工作人员能够方便的对相关日志信息进行调阅；</w:t>
      </w:r>
    </w:p>
    <w:p>
      <w:pPr>
        <w:numPr>
          <w:ilvl w:val="0"/>
          <w:numId w:val="19"/>
        </w:numPr>
        <w:spacing w:line="320" w:lineRule="exact"/>
        <w:rPr>
          <w:rFonts w:ascii="宋体" w:hAnsi="宋体" w:cs="宋体"/>
          <w:sz w:val="18"/>
          <w:szCs w:val="18"/>
        </w:rPr>
      </w:pPr>
      <w:r>
        <w:rPr>
          <w:rFonts w:hint="eastAsia" w:ascii="宋体" w:hAnsi="宋体" w:cs="宋体"/>
          <w:sz w:val="18"/>
          <w:szCs w:val="18"/>
        </w:rPr>
        <w:t>系统能够实现对数据的实时点对点发送或点对多群发；</w:t>
      </w:r>
    </w:p>
    <w:p>
      <w:pPr>
        <w:numPr>
          <w:ilvl w:val="0"/>
          <w:numId w:val="19"/>
        </w:numPr>
        <w:spacing w:line="320" w:lineRule="exact"/>
        <w:rPr>
          <w:rFonts w:ascii="宋体" w:hAnsi="宋体" w:cs="宋体"/>
          <w:sz w:val="18"/>
          <w:szCs w:val="18"/>
        </w:rPr>
      </w:pPr>
      <w:r>
        <w:rPr>
          <w:rFonts w:hint="eastAsia" w:ascii="宋体" w:hAnsi="宋体" w:cs="宋体"/>
          <w:sz w:val="18"/>
          <w:szCs w:val="18"/>
        </w:rPr>
        <w:t>系统能够自动对系统数据、图片等信息进行转移、备份。</w:t>
      </w:r>
    </w:p>
    <w:p>
      <w:pPr>
        <w:pStyle w:val="5"/>
        <w:spacing w:line="320" w:lineRule="exact"/>
        <w:ind w:firstLine="320"/>
        <w:rPr>
          <w:rFonts w:cs="宋体"/>
          <w:b/>
          <w:sz w:val="18"/>
          <w:szCs w:val="18"/>
        </w:rPr>
      </w:pPr>
      <w:r>
        <w:rPr>
          <w:rFonts w:hint="eastAsia" w:cs="宋体"/>
          <w:b/>
          <w:sz w:val="18"/>
          <w:szCs w:val="18"/>
        </w:rPr>
        <w:t>3.4设备状态监控模块</w:t>
      </w:r>
    </w:p>
    <w:p>
      <w:pPr>
        <w:numPr>
          <w:ilvl w:val="0"/>
          <w:numId w:val="20"/>
        </w:numPr>
        <w:spacing w:line="320" w:lineRule="exact"/>
        <w:rPr>
          <w:rFonts w:ascii="宋体" w:hAnsi="宋体" w:cs="宋体"/>
          <w:sz w:val="18"/>
          <w:szCs w:val="18"/>
        </w:rPr>
      </w:pPr>
      <w:r>
        <w:rPr>
          <w:rFonts w:hint="eastAsia" w:ascii="宋体" w:hAnsi="宋体" w:cs="宋体"/>
          <w:sz w:val="18"/>
          <w:szCs w:val="18"/>
        </w:rPr>
        <w:t>实时监控每个通道每个设备，实现每个设备和通道相关联，显示该通道对应的设备信息列表，和每个列表对应的状态信息详细信息；</w:t>
      </w:r>
    </w:p>
    <w:p>
      <w:pPr>
        <w:numPr>
          <w:ilvl w:val="0"/>
          <w:numId w:val="20"/>
        </w:numPr>
        <w:spacing w:line="320" w:lineRule="exact"/>
        <w:rPr>
          <w:rFonts w:ascii="宋体" w:hAnsi="宋体" w:cs="宋体"/>
          <w:sz w:val="18"/>
          <w:szCs w:val="18"/>
        </w:rPr>
      </w:pPr>
      <w:r>
        <w:rPr>
          <w:rFonts w:hint="eastAsia" w:ascii="宋体" w:hAnsi="宋体" w:cs="宋体"/>
          <w:sz w:val="18"/>
          <w:szCs w:val="18"/>
        </w:rPr>
        <w:t>系统应能够自动能收集所有卡口设备的状态信息，并将出现异常的设备在网页端进行颜色提醒；</w:t>
      </w:r>
    </w:p>
    <w:p>
      <w:pPr>
        <w:numPr>
          <w:ilvl w:val="0"/>
          <w:numId w:val="21"/>
        </w:numPr>
        <w:spacing w:line="320" w:lineRule="exact"/>
        <w:ind w:left="420"/>
        <w:rPr>
          <w:rFonts w:ascii="宋体" w:hAnsi="宋体"/>
          <w:sz w:val="18"/>
          <w:szCs w:val="18"/>
        </w:rPr>
      </w:pPr>
      <w:r>
        <w:rPr>
          <w:rFonts w:hint="eastAsia" w:ascii="宋体" w:hAnsi="宋体" w:cs="宋体"/>
          <w:sz w:val="18"/>
          <w:szCs w:val="18"/>
        </w:rPr>
        <w:t xml:space="preserve"> 系统应能够实时监控各车道卡口系统设备运行状态；</w:t>
      </w:r>
    </w:p>
    <w:p>
      <w:pPr>
        <w:numPr>
          <w:ilvl w:val="0"/>
          <w:numId w:val="21"/>
        </w:numPr>
        <w:spacing w:line="320" w:lineRule="exact"/>
        <w:ind w:left="420"/>
        <w:rPr>
          <w:rFonts w:ascii="宋体" w:hAnsi="宋体" w:cs="宋体"/>
          <w:sz w:val="18"/>
          <w:szCs w:val="18"/>
        </w:rPr>
      </w:pPr>
      <w:r>
        <w:rPr>
          <w:rFonts w:hint="eastAsia" w:ascii="宋体" w:hAnsi="宋体" w:cs="宋体"/>
          <w:sz w:val="18"/>
          <w:szCs w:val="18"/>
        </w:rPr>
        <w:t xml:space="preserve"> 系统应能监控卡口服务器工作状态，应能以图表形式展示；</w:t>
      </w:r>
    </w:p>
    <w:p>
      <w:pPr>
        <w:numPr>
          <w:ilvl w:val="0"/>
          <w:numId w:val="21"/>
        </w:numPr>
        <w:spacing w:line="320" w:lineRule="exact"/>
        <w:ind w:left="420"/>
        <w:rPr>
          <w:rFonts w:ascii="宋体" w:hAnsi="宋体" w:cs="宋体"/>
          <w:sz w:val="18"/>
          <w:szCs w:val="18"/>
        </w:rPr>
      </w:pPr>
      <w:r>
        <w:rPr>
          <w:rFonts w:hint="eastAsia" w:ascii="宋体" w:hAnsi="宋体" w:cs="宋体"/>
          <w:sz w:val="18"/>
          <w:szCs w:val="18"/>
        </w:rPr>
        <w:t xml:space="preserve"> 系统具备灵活的扩展性，可通过配置选择启用或停用设备，车辆进入闸口的采集流程采用配置方式可根据实际要求进行变更；</w:t>
      </w:r>
    </w:p>
    <w:p>
      <w:pPr>
        <w:numPr>
          <w:ilvl w:val="0"/>
          <w:numId w:val="21"/>
        </w:numPr>
        <w:spacing w:line="320" w:lineRule="exact"/>
        <w:ind w:left="420"/>
        <w:rPr>
          <w:rFonts w:ascii="宋体" w:hAnsi="宋体" w:cs="宋体"/>
          <w:sz w:val="18"/>
          <w:szCs w:val="18"/>
        </w:rPr>
      </w:pPr>
      <w:r>
        <w:rPr>
          <w:rFonts w:hint="eastAsia" w:ascii="宋体" w:hAnsi="宋体" w:cs="宋体"/>
          <w:sz w:val="18"/>
          <w:szCs w:val="18"/>
        </w:rPr>
        <w:t xml:space="preserve"> 系统具有完备的系统日志功能，工作人员能够方便的对相关日志信息进行调阅。</w:t>
      </w:r>
    </w:p>
    <w:p>
      <w:pPr>
        <w:pStyle w:val="5"/>
        <w:spacing w:line="320" w:lineRule="exact"/>
        <w:ind w:firstLine="320"/>
        <w:rPr>
          <w:rFonts w:cs="宋体"/>
          <w:b/>
          <w:sz w:val="18"/>
          <w:szCs w:val="18"/>
        </w:rPr>
      </w:pPr>
      <w:r>
        <w:rPr>
          <w:rFonts w:hint="eastAsia" w:cs="宋体"/>
          <w:b/>
          <w:sz w:val="18"/>
          <w:szCs w:val="18"/>
        </w:rPr>
        <w:t>3.5人工采补模块</w:t>
      </w:r>
    </w:p>
    <w:p>
      <w:pPr>
        <w:numPr>
          <w:ilvl w:val="0"/>
          <w:numId w:val="22"/>
        </w:numPr>
        <w:spacing w:line="320" w:lineRule="exact"/>
        <w:rPr>
          <w:rFonts w:ascii="宋体" w:hAnsi="宋体" w:cs="宋体"/>
          <w:sz w:val="18"/>
          <w:szCs w:val="18"/>
        </w:rPr>
      </w:pPr>
      <w:r>
        <w:rPr>
          <w:rFonts w:hint="eastAsia" w:ascii="宋体" w:hAnsi="宋体" w:cs="宋体"/>
          <w:sz w:val="18"/>
          <w:szCs w:val="18"/>
        </w:rPr>
        <w:t>系统支持作业流程出现异常时远程重置车道流程；</w:t>
      </w:r>
    </w:p>
    <w:p>
      <w:pPr>
        <w:numPr>
          <w:ilvl w:val="0"/>
          <w:numId w:val="22"/>
        </w:numPr>
        <w:spacing w:line="320" w:lineRule="exact"/>
        <w:rPr>
          <w:rFonts w:ascii="宋体" w:hAnsi="宋体" w:cs="宋体"/>
          <w:sz w:val="18"/>
          <w:szCs w:val="18"/>
        </w:rPr>
      </w:pPr>
      <w:r>
        <w:rPr>
          <w:rFonts w:hint="eastAsia" w:ascii="宋体" w:hAnsi="宋体" w:cs="宋体"/>
          <w:sz w:val="18"/>
          <w:szCs w:val="18"/>
        </w:rPr>
        <w:t>系统支持作业流程异常时可以采取多种人工干预手段，如人工补采数据再次提交、人工干预放行系统自动记录；</w:t>
      </w:r>
    </w:p>
    <w:p>
      <w:pPr>
        <w:numPr>
          <w:ilvl w:val="0"/>
          <w:numId w:val="22"/>
        </w:numPr>
        <w:spacing w:line="320" w:lineRule="exact"/>
        <w:rPr>
          <w:rFonts w:ascii="宋体" w:hAnsi="宋体"/>
          <w:sz w:val="18"/>
          <w:szCs w:val="18"/>
        </w:rPr>
      </w:pPr>
      <w:r>
        <w:rPr>
          <w:rFonts w:hint="eastAsia" w:ascii="宋体" w:hAnsi="宋体" w:cs="宋体"/>
          <w:sz w:val="18"/>
          <w:szCs w:val="18"/>
        </w:rPr>
        <w:t>系统支持远程查看车道地磅实时数据；</w:t>
      </w:r>
    </w:p>
    <w:p>
      <w:pPr>
        <w:numPr>
          <w:ilvl w:val="0"/>
          <w:numId w:val="22"/>
        </w:numPr>
        <w:spacing w:line="320" w:lineRule="exact"/>
        <w:rPr>
          <w:rFonts w:ascii="宋体" w:hAnsi="宋体" w:cs="宋体"/>
          <w:sz w:val="18"/>
          <w:szCs w:val="18"/>
        </w:rPr>
      </w:pPr>
      <w:r>
        <w:rPr>
          <w:rFonts w:hint="eastAsia" w:ascii="宋体" w:hAnsi="宋体" w:cs="宋体"/>
          <w:sz w:val="18"/>
          <w:szCs w:val="18"/>
        </w:rPr>
        <w:t>系统支持远程调试或控制车道硬件功能，如LED、道闸、电子关锁、读取地磅等。</w:t>
      </w:r>
    </w:p>
    <w:p>
      <w:pPr>
        <w:spacing w:line="280" w:lineRule="exact"/>
        <w:rPr>
          <w:rFonts w:ascii="宋体" w:hAnsi="宋体" w:cs="宋体"/>
          <w:sz w:val="18"/>
          <w:szCs w:val="18"/>
        </w:rPr>
      </w:pPr>
    </w:p>
    <w:p>
      <w:pPr>
        <w:spacing w:line="280" w:lineRule="exact"/>
        <w:rPr>
          <w:rFonts w:ascii="宋体" w:hAnsi="宋体" w:cs="宋体"/>
          <w:sz w:val="18"/>
          <w:szCs w:val="18"/>
        </w:rPr>
      </w:pPr>
    </w:p>
    <w:p>
      <w:pPr>
        <w:spacing w:line="280" w:lineRule="exact"/>
        <w:rPr>
          <w:rFonts w:ascii="宋体" w:hAnsi="宋体" w:cs="宋体"/>
          <w:sz w:val="18"/>
          <w:szCs w:val="18"/>
        </w:rPr>
      </w:pPr>
    </w:p>
    <w:p>
      <w:pPr>
        <w:spacing w:line="280" w:lineRule="exact"/>
        <w:rPr>
          <w:rFonts w:ascii="宋体" w:hAnsi="宋体" w:cs="宋体"/>
          <w:sz w:val="18"/>
          <w:szCs w:val="18"/>
        </w:rPr>
      </w:pPr>
    </w:p>
    <w:p>
      <w:pPr>
        <w:pStyle w:val="23"/>
        <w:numPr>
          <w:ilvl w:val="0"/>
          <w:numId w:val="23"/>
        </w:numPr>
        <w:adjustRightInd w:val="0"/>
        <w:snapToGrid w:val="0"/>
        <w:spacing w:line="280" w:lineRule="exact"/>
        <w:ind w:firstLine="361" w:firstLineChars="200"/>
        <w:outlineLvl w:val="1"/>
        <w:rPr>
          <w:rFonts w:ascii="宋体" w:hAnsi="宋体" w:cs="宋体"/>
          <w:b/>
          <w:bCs/>
          <w:sz w:val="18"/>
          <w:szCs w:val="18"/>
        </w:rPr>
      </w:pPr>
      <w:bookmarkStart w:id="110" w:name="_Toc18672586"/>
      <w:r>
        <w:rPr>
          <w:rFonts w:hint="eastAsia" w:ascii="宋体" w:hAnsi="宋体"/>
          <w:b/>
          <w:bCs/>
          <w:sz w:val="18"/>
          <w:szCs w:val="18"/>
        </w:rPr>
        <w:t>软硬件清单</w:t>
      </w:r>
      <w:bookmarkEnd w:id="110"/>
      <w:r>
        <w:rPr>
          <w:rFonts w:hint="eastAsia" w:ascii="宋体" w:hAnsi="宋体"/>
          <w:b/>
          <w:bCs/>
          <w:sz w:val="18"/>
          <w:szCs w:val="18"/>
        </w:rPr>
        <w:t xml:space="preserve"> </w:t>
      </w:r>
      <w:r>
        <w:rPr>
          <w:rFonts w:hint="eastAsia" w:ascii="宋体" w:hAnsi="宋体"/>
          <w:b/>
          <w:bCs/>
          <w:sz w:val="18"/>
          <w:szCs w:val="18"/>
        </w:rPr>
        <w:br w:type="textWrapping"/>
      </w:r>
    </w:p>
    <w:tbl>
      <w:tblPr>
        <w:tblStyle w:val="13"/>
        <w:tblW w:w="10201" w:type="dxa"/>
        <w:jc w:val="center"/>
        <w:tblInd w:w="0" w:type="dxa"/>
        <w:tblLayout w:type="fixed"/>
        <w:tblCellMar>
          <w:top w:w="0" w:type="dxa"/>
          <w:left w:w="108" w:type="dxa"/>
          <w:bottom w:w="0" w:type="dxa"/>
          <w:right w:w="108" w:type="dxa"/>
        </w:tblCellMar>
      </w:tblPr>
      <w:tblGrid>
        <w:gridCol w:w="437"/>
        <w:gridCol w:w="1970"/>
        <w:gridCol w:w="6456"/>
        <w:gridCol w:w="708"/>
        <w:gridCol w:w="630"/>
      </w:tblGrid>
      <w:tr>
        <w:tblPrEx>
          <w:tblLayout w:type="fixed"/>
          <w:tblCellMar>
            <w:top w:w="0" w:type="dxa"/>
            <w:left w:w="108" w:type="dxa"/>
            <w:bottom w:w="0" w:type="dxa"/>
            <w:right w:w="108" w:type="dxa"/>
          </w:tblCellMar>
        </w:tblPrEx>
        <w:trPr>
          <w:trHeight w:val="212" w:hRule="atLeast"/>
          <w:jc w:val="center"/>
        </w:trPr>
        <w:tc>
          <w:tcPr>
            <w:tcW w:w="4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序号</w:t>
            </w:r>
          </w:p>
        </w:tc>
        <w:tc>
          <w:tcPr>
            <w:tcW w:w="19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设备名称</w:t>
            </w:r>
          </w:p>
        </w:tc>
        <w:tc>
          <w:tcPr>
            <w:tcW w:w="645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参数</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单位</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数量</w:t>
            </w:r>
          </w:p>
        </w:tc>
      </w:tr>
      <w:tr>
        <w:tblPrEx>
          <w:tblLayout w:type="fixed"/>
          <w:tblCellMar>
            <w:top w:w="0" w:type="dxa"/>
            <w:left w:w="108" w:type="dxa"/>
            <w:bottom w:w="0" w:type="dxa"/>
            <w:right w:w="108" w:type="dxa"/>
          </w:tblCellMar>
        </w:tblPrEx>
        <w:trPr>
          <w:trHeight w:val="136" w:hRule="atLeast"/>
          <w:jc w:val="center"/>
        </w:trPr>
        <w:tc>
          <w:tcPr>
            <w:tcW w:w="10201" w:type="dxa"/>
            <w:gridSpan w:val="5"/>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 xml:space="preserve">一、4条A类通道 </w:t>
            </w:r>
          </w:p>
        </w:tc>
      </w:tr>
      <w:tr>
        <w:tblPrEx>
          <w:tblLayout w:type="fixed"/>
          <w:tblCellMar>
            <w:top w:w="0" w:type="dxa"/>
            <w:left w:w="108" w:type="dxa"/>
            <w:bottom w:w="0" w:type="dxa"/>
            <w:right w:w="108" w:type="dxa"/>
          </w:tblCellMar>
        </w:tblPrEx>
        <w:trPr>
          <w:trHeight w:val="215" w:hRule="atLeast"/>
          <w:jc w:val="center"/>
        </w:trPr>
        <w:tc>
          <w:tcPr>
            <w:tcW w:w="10201" w:type="dxa"/>
            <w:gridSpan w:val="5"/>
            <w:tcBorders>
              <w:top w:val="single" w:color="auto" w:sz="4" w:space="0"/>
              <w:left w:val="single" w:color="auto" w:sz="4" w:space="0"/>
              <w:bottom w:val="single" w:color="auto" w:sz="4" w:space="0"/>
              <w:right w:val="single" w:color="000000" w:sz="4" w:space="0"/>
            </w:tcBorders>
            <w:vAlign w:val="center"/>
          </w:tcPr>
          <w:p>
            <w:pPr>
              <w:widowControl/>
              <w:spacing w:line="240" w:lineRule="exact"/>
              <w:jc w:val="left"/>
              <w:rPr>
                <w:rFonts w:ascii="宋体" w:hAnsi="宋体" w:cs="宋体"/>
                <w:b/>
                <w:bCs/>
                <w:kern w:val="0"/>
                <w:sz w:val="18"/>
                <w:szCs w:val="18"/>
              </w:rPr>
            </w:pPr>
            <w:r>
              <w:rPr>
                <w:rFonts w:hint="eastAsia" w:ascii="宋体" w:hAnsi="宋体" w:cs="宋体"/>
                <w:b/>
                <w:bCs/>
                <w:kern w:val="0"/>
                <w:sz w:val="18"/>
                <w:szCs w:val="18"/>
              </w:rPr>
              <w:t>1.1、箱号识别系统</w:t>
            </w:r>
          </w:p>
        </w:tc>
      </w:tr>
      <w:tr>
        <w:tblPrEx>
          <w:tblLayout w:type="fixed"/>
          <w:tblCellMar>
            <w:top w:w="0" w:type="dxa"/>
            <w:left w:w="108" w:type="dxa"/>
            <w:bottom w:w="0" w:type="dxa"/>
            <w:right w:w="108" w:type="dxa"/>
          </w:tblCellMar>
        </w:tblPrEx>
        <w:trPr>
          <w:trHeight w:val="1560"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高清箱号</w:t>
            </w:r>
            <w:r>
              <w:rPr>
                <w:rFonts w:hint="eastAsia" w:ascii="宋体" w:hAnsi="宋体" w:cs="宋体"/>
                <w:kern w:val="0"/>
                <w:sz w:val="18"/>
                <w:szCs w:val="18"/>
              </w:rPr>
              <w:br w:type="textWrapping"/>
            </w:r>
            <w:r>
              <w:rPr>
                <w:rFonts w:hint="eastAsia" w:ascii="宋体" w:hAnsi="宋体" w:cs="宋体"/>
                <w:kern w:val="0"/>
                <w:sz w:val="18"/>
                <w:szCs w:val="18"/>
              </w:rPr>
              <w:t>摄像机（含电源）</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1，★选用不低于300万像素高清相机；</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2，分辨率≧1920*1080；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3，支持：H.265 / H.264；</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4，工作温度和湿度：-30℃~60℃，湿度小于95%(无凝结)，-H:-40℃~60℃；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5，红外距离 20-50米；</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6，防护等级 IP67。</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16</w:t>
            </w:r>
          </w:p>
        </w:tc>
      </w:tr>
      <w:tr>
        <w:tblPrEx>
          <w:tblLayout w:type="fixed"/>
          <w:tblCellMar>
            <w:top w:w="0" w:type="dxa"/>
            <w:left w:w="108" w:type="dxa"/>
            <w:bottom w:w="0" w:type="dxa"/>
            <w:right w:w="108" w:type="dxa"/>
          </w:tblCellMar>
        </w:tblPrEx>
        <w:trPr>
          <w:trHeight w:val="402"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摄像机安装抱箍及支架、万向节</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定制，采用镀锌钢材质制作。</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16</w:t>
            </w:r>
          </w:p>
        </w:tc>
      </w:tr>
      <w:tr>
        <w:tblPrEx>
          <w:tblLayout w:type="fixed"/>
          <w:tblCellMar>
            <w:top w:w="0" w:type="dxa"/>
            <w:left w:w="108" w:type="dxa"/>
            <w:bottom w:w="0" w:type="dxa"/>
            <w:right w:w="108" w:type="dxa"/>
          </w:tblCellMar>
        </w:tblPrEx>
        <w:trPr>
          <w:trHeight w:val="63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LED补光灯</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1，高亮度LED灯珠；</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2，等级：IP65，室内外通用； </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3，工作温度：－25度～＋85度。</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16</w:t>
            </w:r>
          </w:p>
        </w:tc>
      </w:tr>
      <w:tr>
        <w:tblPrEx>
          <w:tblLayout w:type="fixed"/>
          <w:tblCellMar>
            <w:top w:w="0" w:type="dxa"/>
            <w:left w:w="108" w:type="dxa"/>
            <w:bottom w:w="0" w:type="dxa"/>
            <w:right w:w="108" w:type="dxa"/>
          </w:tblCellMar>
        </w:tblPrEx>
        <w:trPr>
          <w:trHeight w:val="279"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补光灯安装抱箍及支架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定制，采用镀锌钢材质制作。</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16</w:t>
            </w:r>
          </w:p>
        </w:tc>
      </w:tr>
      <w:tr>
        <w:tblPrEx>
          <w:tblLayout w:type="fixed"/>
          <w:tblCellMar>
            <w:top w:w="0" w:type="dxa"/>
            <w:left w:w="108" w:type="dxa"/>
            <w:bottom w:w="0" w:type="dxa"/>
            <w:right w:w="108" w:type="dxa"/>
          </w:tblCellMar>
        </w:tblPrEx>
        <w:trPr>
          <w:trHeight w:val="782"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红外对射传感器（含电源）</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1，检测距离：大于30米；</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2，功率消耗：3W以下；</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3，寿命：10万次以上；</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 xml:space="preserve">4，使用环境温度： -25～+55℃（不结冰、不结露）。                                                   </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对</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r>
      <w:tr>
        <w:tblPrEx>
          <w:tblLayout w:type="fixed"/>
          <w:tblCellMar>
            <w:top w:w="0" w:type="dxa"/>
            <w:left w:w="108" w:type="dxa"/>
            <w:bottom w:w="0" w:type="dxa"/>
            <w:right w:w="108" w:type="dxa"/>
          </w:tblCellMar>
        </w:tblPrEx>
        <w:trPr>
          <w:trHeight w:val="539"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红外对射传感器安装抱箍及支架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定制，采用镀锌钢材质制作。</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r>
      <w:tr>
        <w:tblPrEx>
          <w:tblLayout w:type="fixed"/>
          <w:tblCellMar>
            <w:top w:w="0" w:type="dxa"/>
            <w:left w:w="108" w:type="dxa"/>
            <w:bottom w:w="0" w:type="dxa"/>
            <w:right w:w="108" w:type="dxa"/>
          </w:tblCellMar>
        </w:tblPrEx>
        <w:trPr>
          <w:trHeight w:val="1011"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可编程逻辑</w:t>
            </w:r>
            <w:r>
              <w:rPr>
                <w:rFonts w:hint="eastAsia" w:ascii="宋体" w:hAnsi="宋体" w:cs="宋体"/>
                <w:kern w:val="0"/>
                <w:sz w:val="18"/>
                <w:szCs w:val="18"/>
              </w:rPr>
              <w:br w:type="textWrapping"/>
            </w:r>
            <w:r>
              <w:rPr>
                <w:rFonts w:hint="eastAsia" w:ascii="宋体" w:hAnsi="宋体" w:cs="宋体"/>
                <w:kern w:val="0"/>
                <w:sz w:val="18"/>
                <w:szCs w:val="18"/>
              </w:rPr>
              <w:t>控制器</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1，输入形式：漏型/源型；</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2，输入点数：8；</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3，输出种类：晶体管/漏型输出；</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4，输出点数：6；</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5，输出动作显示：光耦驱动时面板上的LED灯亮。</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287"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交换机</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24口，10/100/1000Base-T自适应以太网端口。</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113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串口服务器</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1，支持 2 个 RS-232/422/485 串行通讯端口；</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2，提供串口重发（虚拟串口）,TCP 和 UDP操作模式；</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3，最多支持 16 台主机访问；</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4，Class 1, Division 2认证；</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5，★应具备 2 个 10/100Mbps 自适应以太网口。</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447"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箱号识别系统安装杆件（含配电箱）</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定制，采用镀锌钢材质制作。</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414"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11</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人工智能集装箱号码识别系统软件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1，视频流方式识别箱号、箱型；</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2，★箱号识别率应大于98%。</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337" w:hRule="atLeast"/>
          <w:jc w:val="center"/>
        </w:trPr>
        <w:tc>
          <w:tcPr>
            <w:tcW w:w="10201" w:type="dxa"/>
            <w:gridSpan w:val="5"/>
            <w:tcBorders>
              <w:top w:val="single" w:color="auto" w:sz="4" w:space="0"/>
              <w:left w:val="single" w:color="auto" w:sz="4" w:space="0"/>
              <w:bottom w:val="single" w:color="auto" w:sz="4" w:space="0"/>
              <w:right w:val="single" w:color="000000" w:sz="4" w:space="0"/>
            </w:tcBorders>
            <w:vAlign w:val="center"/>
          </w:tcPr>
          <w:p>
            <w:pPr>
              <w:widowControl/>
              <w:spacing w:line="240" w:lineRule="exact"/>
              <w:jc w:val="left"/>
              <w:rPr>
                <w:rFonts w:ascii="宋体" w:hAnsi="宋体" w:cs="宋体"/>
                <w:b/>
                <w:bCs/>
                <w:kern w:val="0"/>
                <w:sz w:val="18"/>
                <w:szCs w:val="18"/>
              </w:rPr>
            </w:pPr>
            <w:r>
              <w:rPr>
                <w:rFonts w:hint="eastAsia" w:ascii="宋体" w:hAnsi="宋体" w:cs="宋体"/>
                <w:b/>
                <w:bCs/>
                <w:kern w:val="0"/>
                <w:sz w:val="18"/>
                <w:szCs w:val="18"/>
              </w:rPr>
              <w:t>1.2集装箱破损检测系统</w:t>
            </w:r>
          </w:p>
        </w:tc>
      </w:tr>
      <w:tr>
        <w:tblPrEx>
          <w:tblLayout w:type="fixed"/>
          <w:tblCellMar>
            <w:top w:w="0" w:type="dxa"/>
            <w:left w:w="108" w:type="dxa"/>
            <w:bottom w:w="0" w:type="dxa"/>
            <w:right w:w="108" w:type="dxa"/>
          </w:tblCellMar>
        </w:tblPrEx>
        <w:trPr>
          <w:trHeight w:val="1277"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高清箱号</w:t>
            </w:r>
            <w:r>
              <w:rPr>
                <w:rFonts w:hint="eastAsia" w:ascii="宋体" w:hAnsi="宋体" w:cs="宋体"/>
                <w:kern w:val="0"/>
                <w:sz w:val="18"/>
                <w:szCs w:val="18"/>
              </w:rPr>
              <w:br w:type="textWrapping"/>
            </w:r>
            <w:r>
              <w:rPr>
                <w:rFonts w:hint="eastAsia" w:ascii="宋体" w:hAnsi="宋体" w:cs="宋体"/>
                <w:kern w:val="0"/>
                <w:sz w:val="18"/>
                <w:szCs w:val="18"/>
              </w:rPr>
              <w:t>摄像机（含电源）</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1，★选用不低于300万像素高清相机；</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2，分辨率≧1920*1080；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3，支持：H.265 / H.264；</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4，工作温度和湿度：-30℃~60℃，湿度小于95%(无凝结)，-H:-40℃~60℃；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5，红外距离 20-50米；</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6，防护等级 IP67。</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r>
      <w:tr>
        <w:tblPrEx>
          <w:tblLayout w:type="fixed"/>
          <w:tblCellMar>
            <w:top w:w="0" w:type="dxa"/>
            <w:left w:w="108" w:type="dxa"/>
            <w:bottom w:w="0" w:type="dxa"/>
            <w:right w:w="108" w:type="dxa"/>
          </w:tblCellMar>
        </w:tblPrEx>
        <w:trPr>
          <w:trHeight w:val="390"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摄像机安装抱箍及支架、万向节</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定制，采用镀锌钢材质制作。</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r>
      <w:tr>
        <w:tblPrEx>
          <w:tblLayout w:type="fixed"/>
          <w:tblCellMar>
            <w:top w:w="0" w:type="dxa"/>
            <w:left w:w="108" w:type="dxa"/>
            <w:bottom w:w="0" w:type="dxa"/>
            <w:right w:w="108" w:type="dxa"/>
          </w:tblCellMar>
        </w:tblPrEx>
        <w:trPr>
          <w:trHeight w:val="610"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LED补光灯</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1，高亮度LED灯珠；</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2，等级：IP65，室内外通用； </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3，工作温度：－25度～＋85度。</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r>
      <w:tr>
        <w:tblPrEx>
          <w:tblLayout w:type="fixed"/>
          <w:tblCellMar>
            <w:top w:w="0" w:type="dxa"/>
            <w:left w:w="108" w:type="dxa"/>
            <w:bottom w:w="0" w:type="dxa"/>
            <w:right w:w="108" w:type="dxa"/>
          </w:tblCellMar>
        </w:tblPrEx>
        <w:trPr>
          <w:trHeight w:val="274"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补光灯安装抱箍及支架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定制，采用镀锌钢材质制作。</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r>
      <w:tr>
        <w:tblPrEx>
          <w:tblLayout w:type="fixed"/>
          <w:tblCellMar>
            <w:top w:w="0" w:type="dxa"/>
            <w:left w:w="108" w:type="dxa"/>
            <w:bottom w:w="0" w:type="dxa"/>
            <w:right w:w="108" w:type="dxa"/>
          </w:tblCellMar>
        </w:tblPrEx>
        <w:trPr>
          <w:trHeight w:val="557"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集装箱破损检测软件</w:t>
            </w:r>
          </w:p>
        </w:tc>
        <w:tc>
          <w:tcPr>
            <w:tcW w:w="6456" w:type="dxa"/>
            <w:tcBorders>
              <w:top w:val="nil"/>
              <w:left w:val="nil"/>
              <w:bottom w:val="nil"/>
              <w:right w:val="nil"/>
            </w:tcBorders>
          </w:tcPr>
          <w:p>
            <w:pPr>
              <w:widowControl/>
              <w:spacing w:line="240" w:lineRule="exact"/>
              <w:rPr>
                <w:rFonts w:ascii="宋体" w:hAnsi="宋体" w:cs="宋体"/>
                <w:color w:val="000000"/>
                <w:kern w:val="0"/>
                <w:sz w:val="18"/>
                <w:szCs w:val="18"/>
              </w:rPr>
            </w:pPr>
            <w:r>
              <w:rPr>
                <w:rFonts w:hint="eastAsia" w:ascii="宋体" w:hAnsi="宋体" w:cs="宋体"/>
                <w:color w:val="000000"/>
                <w:kern w:val="0"/>
                <w:sz w:val="18"/>
                <w:szCs w:val="18"/>
              </w:rPr>
              <w:t>1，★系统应通过图像拼接技术或其他更高的技术路线，能够在一张图片上显示集装箱图像用于验残识别；</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2，★自动验残时间应小于3秒。</w:t>
            </w:r>
          </w:p>
        </w:tc>
        <w:tc>
          <w:tcPr>
            <w:tcW w:w="708"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55" w:hRule="atLeast"/>
          <w:jc w:val="center"/>
        </w:trPr>
        <w:tc>
          <w:tcPr>
            <w:tcW w:w="10201" w:type="dxa"/>
            <w:gridSpan w:val="5"/>
            <w:tcBorders>
              <w:top w:val="single" w:color="auto" w:sz="4" w:space="0"/>
              <w:left w:val="single" w:color="auto" w:sz="4" w:space="0"/>
              <w:bottom w:val="single" w:color="auto" w:sz="4" w:space="0"/>
              <w:right w:val="single" w:color="000000" w:sz="4" w:space="0"/>
            </w:tcBorders>
            <w:vAlign w:val="center"/>
          </w:tcPr>
          <w:p>
            <w:pPr>
              <w:widowControl/>
              <w:spacing w:line="240" w:lineRule="exact"/>
              <w:jc w:val="left"/>
              <w:rPr>
                <w:rFonts w:ascii="宋体" w:hAnsi="宋体" w:cs="宋体"/>
                <w:b/>
                <w:bCs/>
                <w:kern w:val="0"/>
                <w:sz w:val="18"/>
                <w:szCs w:val="18"/>
              </w:rPr>
            </w:pPr>
            <w:r>
              <w:rPr>
                <w:rFonts w:hint="eastAsia" w:ascii="宋体" w:hAnsi="宋体" w:cs="宋体"/>
                <w:b/>
                <w:bCs/>
                <w:kern w:val="0"/>
                <w:sz w:val="18"/>
                <w:szCs w:val="18"/>
              </w:rPr>
              <w:t>1.3高清车牌识别系统</w:t>
            </w:r>
          </w:p>
        </w:tc>
      </w:tr>
      <w:tr>
        <w:tblPrEx>
          <w:tblLayout w:type="fixed"/>
          <w:tblCellMar>
            <w:top w:w="0" w:type="dxa"/>
            <w:left w:w="108" w:type="dxa"/>
            <w:bottom w:w="0" w:type="dxa"/>
            <w:right w:w="108" w:type="dxa"/>
          </w:tblCellMar>
        </w:tblPrEx>
        <w:trPr>
          <w:trHeight w:val="1281"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车牌识别一体机</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1，★选用不低于300万像素高清相机；</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2，分辨率≧1920*1080；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3，支持：H.265 / H.264；</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4，工作温度和湿度：-30℃~60℃，湿度小于95%(无凝结)，-H:-40℃~60℃；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5，红外距离 20-50米；</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6，防护等级 IP67。</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407"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车牌摄像机立柱</w:t>
            </w:r>
            <w:r>
              <w:rPr>
                <w:rFonts w:hint="eastAsia" w:ascii="宋体" w:hAnsi="宋体" w:cs="宋体"/>
                <w:kern w:val="0"/>
                <w:sz w:val="18"/>
                <w:szCs w:val="18"/>
              </w:rPr>
              <w:br w:type="textWrapping"/>
            </w:r>
            <w:r>
              <w:rPr>
                <w:rFonts w:hint="eastAsia" w:ascii="宋体" w:hAnsi="宋体" w:cs="宋体"/>
                <w:kern w:val="0"/>
                <w:sz w:val="18"/>
                <w:szCs w:val="18"/>
              </w:rPr>
              <w:t>抱箍及安装支架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定制，采用镀锌钢材质制作。</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768"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LED补光灯</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1，光源类型：进口LED光源；</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2，光通量≥1320LM；；</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3，发光角度：15度/45度；</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4，工作温度：-25°~ 70°；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5，防护等级：IP65。</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98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车辆检测器</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1，工作温度：-20℃~65℃；</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2，反应时间：小于10ms；</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3，存在时间：无限存在/有限存在10分钟 ；</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4，灵 敏 度：四级可调；</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5，线圈电感量：100uH至300uH。</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19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地感线圈</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RV1.5。</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367"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车牌号码自动识别系统软件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★车牌识别正确率应不低于97%，车辆扑捉率应不低于99%。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303" w:hRule="atLeast"/>
          <w:jc w:val="center"/>
        </w:trPr>
        <w:tc>
          <w:tcPr>
            <w:tcW w:w="10201" w:type="dxa"/>
            <w:gridSpan w:val="5"/>
            <w:tcBorders>
              <w:top w:val="single" w:color="auto" w:sz="4" w:space="0"/>
              <w:left w:val="single" w:color="auto" w:sz="4" w:space="0"/>
              <w:bottom w:val="single" w:color="auto" w:sz="4" w:space="0"/>
              <w:right w:val="single" w:color="000000" w:sz="4" w:space="0"/>
            </w:tcBorders>
            <w:vAlign w:val="center"/>
          </w:tcPr>
          <w:p>
            <w:pPr>
              <w:widowControl/>
              <w:spacing w:line="240" w:lineRule="exact"/>
              <w:jc w:val="left"/>
              <w:rPr>
                <w:rFonts w:ascii="宋体" w:hAnsi="宋体" w:cs="宋体"/>
                <w:b/>
                <w:bCs/>
                <w:kern w:val="0"/>
                <w:sz w:val="18"/>
                <w:szCs w:val="18"/>
              </w:rPr>
            </w:pPr>
            <w:r>
              <w:rPr>
                <w:rFonts w:hint="eastAsia" w:ascii="宋体" w:hAnsi="宋体" w:cs="宋体"/>
                <w:b/>
                <w:bCs/>
                <w:kern w:val="0"/>
                <w:sz w:val="18"/>
                <w:szCs w:val="18"/>
              </w:rPr>
              <w:t>1.4车架号识别系统</w:t>
            </w:r>
          </w:p>
        </w:tc>
      </w:tr>
      <w:tr>
        <w:tblPrEx>
          <w:tblLayout w:type="fixed"/>
          <w:tblCellMar>
            <w:top w:w="0" w:type="dxa"/>
            <w:left w:w="108" w:type="dxa"/>
            <w:bottom w:w="0" w:type="dxa"/>
            <w:right w:w="108" w:type="dxa"/>
          </w:tblCellMar>
        </w:tblPrEx>
        <w:trPr>
          <w:trHeight w:val="1257"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高清车架号</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摄像机（含电源）</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1，★选用不低于300万像素高清相机；</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2，分辨率≧1920*1080；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3，支持：H.265 / H.264；</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4，工作温度和湿度：-30℃~60℃，湿度小于95%(无凝结)，-H:-40℃~60℃；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5，红外距离 20-50米；</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6，防护等级 IP67。</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r>
      <w:tr>
        <w:tblPrEx>
          <w:tblLayout w:type="fixed"/>
          <w:tblCellMar>
            <w:top w:w="0" w:type="dxa"/>
            <w:left w:w="108" w:type="dxa"/>
            <w:bottom w:w="0" w:type="dxa"/>
            <w:right w:w="108" w:type="dxa"/>
          </w:tblCellMar>
        </w:tblPrEx>
        <w:trPr>
          <w:trHeight w:val="70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车架号摄像机立柱</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抱箍及安装支架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定制，采用镀锌钢材质制作。</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r>
      <w:tr>
        <w:tblPrEx>
          <w:tblLayout w:type="fixed"/>
          <w:tblCellMar>
            <w:top w:w="0" w:type="dxa"/>
            <w:left w:w="108" w:type="dxa"/>
            <w:bottom w:w="0" w:type="dxa"/>
            <w:right w:w="108" w:type="dxa"/>
          </w:tblCellMar>
        </w:tblPrEx>
        <w:trPr>
          <w:trHeight w:val="1076"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LED补光灯</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1，光源类型：进口LED光源；</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2，光通量≥1320LM；；</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3，发光角度：15度/45度；</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4，工作温度：-25°~ 70°；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5，防护等级：IP65。</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r>
      <w:tr>
        <w:tblPrEx>
          <w:tblLayout w:type="fixed"/>
          <w:tblCellMar>
            <w:top w:w="0" w:type="dxa"/>
            <w:left w:w="108" w:type="dxa"/>
            <w:bottom w:w="0" w:type="dxa"/>
            <w:right w:w="108" w:type="dxa"/>
          </w:tblCellMar>
        </w:tblPrEx>
        <w:trPr>
          <w:trHeight w:val="1149"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车辆检测器</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1，工作温度：-20℃~65℃；</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2，反应时间：小于10ms；</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3，存在时间：无限存在/有限存在10分钟 ；</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4，灵 敏 度：四级可调；</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5，线圈电感量：100uH至300uH。</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r>
      <w:tr>
        <w:tblPrEx>
          <w:tblLayout w:type="fixed"/>
          <w:tblCellMar>
            <w:top w:w="0" w:type="dxa"/>
            <w:left w:w="108" w:type="dxa"/>
            <w:bottom w:w="0" w:type="dxa"/>
            <w:right w:w="108" w:type="dxa"/>
          </w:tblCellMar>
        </w:tblPrEx>
        <w:trPr>
          <w:trHeight w:val="231"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地感线圈</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RV1.5。</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r>
      <w:tr>
        <w:tblPrEx>
          <w:tblLayout w:type="fixed"/>
          <w:tblCellMar>
            <w:top w:w="0" w:type="dxa"/>
            <w:left w:w="108" w:type="dxa"/>
            <w:bottom w:w="0" w:type="dxa"/>
            <w:right w:w="108" w:type="dxa"/>
          </w:tblCellMar>
        </w:tblPrEx>
        <w:trPr>
          <w:trHeight w:val="405"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车架号自动识别系统软件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★全天候车架号识别准确率应不低于95%。</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4</w:t>
            </w:r>
          </w:p>
        </w:tc>
      </w:tr>
      <w:tr>
        <w:tblPrEx>
          <w:tblLayout w:type="fixed"/>
          <w:tblCellMar>
            <w:top w:w="0" w:type="dxa"/>
            <w:left w:w="108" w:type="dxa"/>
            <w:bottom w:w="0" w:type="dxa"/>
            <w:right w:w="108" w:type="dxa"/>
          </w:tblCellMar>
        </w:tblPrEx>
        <w:trPr>
          <w:trHeight w:val="341" w:hRule="atLeast"/>
          <w:jc w:val="center"/>
        </w:trPr>
        <w:tc>
          <w:tcPr>
            <w:tcW w:w="10201" w:type="dxa"/>
            <w:gridSpan w:val="5"/>
            <w:tcBorders>
              <w:top w:val="single" w:color="auto" w:sz="4" w:space="0"/>
              <w:left w:val="single" w:color="auto" w:sz="4" w:space="0"/>
              <w:bottom w:val="single" w:color="auto" w:sz="4" w:space="0"/>
              <w:right w:val="single" w:color="000000" w:sz="4" w:space="0"/>
            </w:tcBorders>
            <w:vAlign w:val="center"/>
          </w:tcPr>
          <w:p>
            <w:pPr>
              <w:widowControl/>
              <w:spacing w:line="240" w:lineRule="exact"/>
              <w:jc w:val="left"/>
              <w:rPr>
                <w:rFonts w:ascii="宋体" w:hAnsi="宋体" w:cs="宋体"/>
                <w:b/>
                <w:bCs/>
                <w:kern w:val="0"/>
                <w:sz w:val="18"/>
                <w:szCs w:val="18"/>
              </w:rPr>
            </w:pPr>
            <w:r>
              <w:rPr>
                <w:rFonts w:hint="eastAsia" w:ascii="宋体" w:hAnsi="宋体" w:cs="宋体"/>
                <w:b/>
                <w:bCs/>
                <w:kern w:val="0"/>
                <w:sz w:val="18"/>
                <w:szCs w:val="18"/>
              </w:rPr>
              <w:t>1.5电子车牌识别系统</w:t>
            </w:r>
          </w:p>
        </w:tc>
      </w:tr>
      <w:tr>
        <w:tblPrEx>
          <w:tblLayout w:type="fixed"/>
          <w:tblCellMar>
            <w:top w:w="0" w:type="dxa"/>
            <w:left w:w="108" w:type="dxa"/>
            <w:bottom w:w="0" w:type="dxa"/>
            <w:right w:w="108" w:type="dxa"/>
          </w:tblCellMar>
        </w:tblPrEx>
        <w:trPr>
          <w:trHeight w:val="98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四通道固定式读写器</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1，工作温度：- 20 °C  ~  + 55 °C；</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2，工作湿度&lt; 95% ( + 25 °C)；</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3，工作频谱范围：860MHz – 960MHz；</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4，标签缓存区：1000张标签 @ 96 bit EPC；</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5，★读写器,具备网口通讯功能。</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1060"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12dBi板状天线 </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1，806-960MHz；</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2，增益12dBi；</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3，垂直极化；</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4，工作温度,-40-70℃。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419"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射频电缆线</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6m馈线。</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根</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70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射频电缆转接线</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定制。</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根</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70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RFID电子标签6C卡</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规格：85.6*54。</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张</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tblPrEx>
          <w:tblLayout w:type="fixed"/>
          <w:tblCellMar>
            <w:top w:w="0" w:type="dxa"/>
            <w:left w:w="108" w:type="dxa"/>
            <w:bottom w:w="0" w:type="dxa"/>
            <w:right w:w="108" w:type="dxa"/>
          </w:tblCellMar>
        </w:tblPrEx>
        <w:trPr>
          <w:trHeight w:val="70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电子车牌设备安装杆件、抱箍、支架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定制，采用镀锌钢材质制作。</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70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电子车牌识别系统软件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★电子车牌识别率：大于99％（全天候）。</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325" w:hRule="atLeast"/>
          <w:jc w:val="center"/>
        </w:trPr>
        <w:tc>
          <w:tcPr>
            <w:tcW w:w="10201" w:type="dxa"/>
            <w:gridSpan w:val="5"/>
            <w:tcBorders>
              <w:top w:val="single" w:color="auto" w:sz="4" w:space="0"/>
              <w:left w:val="single" w:color="auto" w:sz="4" w:space="0"/>
              <w:bottom w:val="single" w:color="auto" w:sz="4" w:space="0"/>
              <w:right w:val="single" w:color="000000" w:sz="4" w:space="0"/>
            </w:tcBorders>
            <w:vAlign w:val="center"/>
          </w:tcPr>
          <w:p>
            <w:pPr>
              <w:widowControl/>
              <w:spacing w:line="240" w:lineRule="exact"/>
              <w:jc w:val="left"/>
              <w:rPr>
                <w:rFonts w:ascii="宋体" w:hAnsi="宋体" w:cs="宋体"/>
                <w:b/>
                <w:bCs/>
                <w:kern w:val="0"/>
                <w:sz w:val="18"/>
                <w:szCs w:val="18"/>
              </w:rPr>
            </w:pPr>
            <w:r>
              <w:rPr>
                <w:rFonts w:hint="eastAsia" w:ascii="宋体" w:hAnsi="宋体" w:cs="宋体"/>
                <w:b/>
                <w:bCs/>
                <w:kern w:val="0"/>
                <w:sz w:val="18"/>
                <w:szCs w:val="18"/>
              </w:rPr>
              <w:t>1.6IC卡识别系统</w:t>
            </w:r>
          </w:p>
        </w:tc>
      </w:tr>
      <w:tr>
        <w:tblPrEx>
          <w:tblLayout w:type="fixed"/>
          <w:tblCellMar>
            <w:top w:w="0" w:type="dxa"/>
            <w:left w:w="108" w:type="dxa"/>
            <w:bottom w:w="0" w:type="dxa"/>
            <w:right w:w="108" w:type="dxa"/>
          </w:tblCellMar>
        </w:tblPrEx>
        <w:trPr>
          <w:trHeight w:val="888"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IC卡读写器(含电源）</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1，可配置4个SAM安全模块；</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 xml:space="preserve">2，符合CE、FCC、RoHS                                                            </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3，工作环境 温度：-20℃～80℃；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4，相对湿度：10% ～90%。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1341"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自动发卡机(含电源）</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1，接口 RS232/RS485/电平控制；</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2，发行速度 1s/张；</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3，卡片最大装载（无卡筒级联情况下） 130mm（160张0.7mm卡）；</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4，卡片尺寸 长度：76mm～86mm  宽度：53mm-56mm  厚度：0.3mm-2.0mm；</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5，剩余卡片数量检测（可调） 25-100张（可调）；</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6，工作环境 -20℃～85℃，20%～90%RH。</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r>
      <w:tr>
        <w:tblPrEx>
          <w:tblLayout w:type="fixed"/>
          <w:tblCellMar>
            <w:top w:w="0" w:type="dxa"/>
            <w:left w:w="108" w:type="dxa"/>
            <w:bottom w:w="0" w:type="dxa"/>
            <w:right w:w="108" w:type="dxa"/>
          </w:tblCellMar>
        </w:tblPrEx>
        <w:trPr>
          <w:trHeight w:val="1520"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自动收卡机(含电源）</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1，发生堵塞时可以选择超时退卡或超时不退卡，以及强制收卡或退卡；</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2，当卡片识别动作超时，可选择超时退卡或超时不退卡；</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3，可以选择卡片识别动作超时退卡时间；</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4，错误状态声光报警；</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5，环境特性温度： -40℃ to 85℃（工业级）；</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6，湿度： 30-90% （相对湿度）。</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r>
      <w:tr>
        <w:tblPrEx>
          <w:tblLayout w:type="fixed"/>
          <w:tblCellMar>
            <w:top w:w="0" w:type="dxa"/>
            <w:left w:w="108" w:type="dxa"/>
            <w:bottom w:w="0" w:type="dxa"/>
            <w:right w:w="108" w:type="dxa"/>
          </w:tblCellMar>
        </w:tblPrEx>
        <w:trPr>
          <w:trHeight w:val="780"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智能IC卡</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1，具有防冲突机制，支持多卡操作；</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2，无电源，自带天线，内含加密控制逻辑和通讯逻辑电路；</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3，工作温度：-20℃～50℃。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张</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50</w:t>
            </w:r>
          </w:p>
        </w:tc>
      </w:tr>
      <w:tr>
        <w:tblPrEx>
          <w:tblLayout w:type="fixed"/>
          <w:tblCellMar>
            <w:top w:w="0" w:type="dxa"/>
            <w:left w:w="108" w:type="dxa"/>
            <w:bottom w:w="0" w:type="dxa"/>
            <w:right w:w="108" w:type="dxa"/>
          </w:tblCellMar>
        </w:tblPrEx>
        <w:trPr>
          <w:trHeight w:val="1300"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桌面式读写器 （电子车牌）</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1，工作温度，- 20 °C  -  + 70  °C；</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2，存储温度，- 20 °C  -  + 85  °C；</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3，工作湿度&lt; 95% ( + 25 °C)；</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4，标签缓存区；200张标签 @ 96 bit EPC；</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5，USB 2.0。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r>
      <w:tr>
        <w:tblPrEx>
          <w:tblLayout w:type="fixed"/>
          <w:tblCellMar>
            <w:top w:w="0" w:type="dxa"/>
            <w:left w:w="108" w:type="dxa"/>
            <w:bottom w:w="0" w:type="dxa"/>
            <w:right w:w="108" w:type="dxa"/>
          </w:tblCellMar>
        </w:tblPrEx>
        <w:trPr>
          <w:trHeight w:val="22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IC卡写卡器（IC卡）</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通讯接口：DB-9Female Connector。</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r>
      <w:tr>
        <w:tblPrEx>
          <w:tblLayout w:type="fixed"/>
          <w:tblCellMar>
            <w:top w:w="0" w:type="dxa"/>
            <w:left w:w="108" w:type="dxa"/>
            <w:bottom w:w="0" w:type="dxa"/>
            <w:right w:w="108" w:type="dxa"/>
          </w:tblCellMar>
        </w:tblPrEx>
        <w:trPr>
          <w:trHeight w:val="410"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管理终端（含鼠标键盘、显示器）</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i5-7500/4G/1T/核显 。</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r>
      <w:tr>
        <w:tblPrEx>
          <w:tblLayout w:type="fixed"/>
          <w:tblCellMar>
            <w:top w:w="0" w:type="dxa"/>
            <w:left w:w="108" w:type="dxa"/>
            <w:bottom w:w="0" w:type="dxa"/>
            <w:right w:w="108" w:type="dxa"/>
          </w:tblCellMar>
        </w:tblPrEx>
        <w:trPr>
          <w:trHeight w:val="710"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IC卡管理系统软件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1，IC卡备案数据写入；</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2，IC卡发放管理；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3，IC卡回收管理；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4，IC卡相关信息数据查询。</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171" w:hRule="atLeast"/>
          <w:jc w:val="center"/>
        </w:trPr>
        <w:tc>
          <w:tcPr>
            <w:tcW w:w="10201" w:type="dxa"/>
            <w:gridSpan w:val="5"/>
            <w:tcBorders>
              <w:top w:val="single" w:color="auto" w:sz="4" w:space="0"/>
              <w:left w:val="single" w:color="auto" w:sz="4" w:space="0"/>
              <w:bottom w:val="single" w:color="auto" w:sz="4" w:space="0"/>
              <w:right w:val="single" w:color="000000" w:sz="4" w:space="0"/>
            </w:tcBorders>
            <w:vAlign w:val="center"/>
          </w:tcPr>
          <w:p>
            <w:pPr>
              <w:widowControl/>
              <w:spacing w:line="240" w:lineRule="exact"/>
              <w:jc w:val="left"/>
              <w:rPr>
                <w:rFonts w:ascii="宋体" w:hAnsi="宋体" w:cs="宋体"/>
                <w:b/>
                <w:bCs/>
                <w:kern w:val="0"/>
                <w:sz w:val="18"/>
                <w:szCs w:val="18"/>
              </w:rPr>
            </w:pPr>
            <w:r>
              <w:rPr>
                <w:rFonts w:hint="eastAsia" w:ascii="宋体" w:hAnsi="宋体" w:cs="宋体"/>
                <w:b/>
                <w:bCs/>
                <w:kern w:val="0"/>
                <w:sz w:val="18"/>
                <w:szCs w:val="18"/>
              </w:rPr>
              <w:t>1.7LED通道引导屏系统</w:t>
            </w:r>
          </w:p>
        </w:tc>
      </w:tr>
      <w:tr>
        <w:tblPrEx>
          <w:tblLayout w:type="fixed"/>
          <w:tblCellMar>
            <w:top w:w="0" w:type="dxa"/>
            <w:left w:w="108" w:type="dxa"/>
            <w:bottom w:w="0" w:type="dxa"/>
            <w:right w:w="108" w:type="dxa"/>
          </w:tblCellMar>
        </w:tblPrEx>
        <w:trPr>
          <w:trHeight w:val="1740"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车道引导屏LED引导屏</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1，亮度：≥5000cd/m2；</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2，亮度调节方式：软件16级可调；</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3，显示内容：文字、图片、视频、时钟、日期、温度、湿度等；</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4，控制系统采用：网口或USB传输（可选）；</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5，平均无故障时间：≥10000小时；</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6，寿命：大于5万小时；</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7，★通讯接口方式：网口。</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666"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LED引导屏安装杆件及基础笼</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1，优质镀锌管定制；</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2，管壁：≥3mm；</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3，基础笼：定制。</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209"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LED引导屏软件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定制。</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99" w:hRule="atLeast"/>
          <w:jc w:val="center"/>
        </w:trPr>
        <w:tc>
          <w:tcPr>
            <w:tcW w:w="10201" w:type="dxa"/>
            <w:gridSpan w:val="5"/>
            <w:tcBorders>
              <w:top w:val="single" w:color="auto" w:sz="4" w:space="0"/>
              <w:left w:val="single" w:color="auto" w:sz="4" w:space="0"/>
              <w:bottom w:val="single" w:color="auto" w:sz="4" w:space="0"/>
              <w:right w:val="single" w:color="000000" w:sz="4" w:space="0"/>
            </w:tcBorders>
            <w:vAlign w:val="center"/>
          </w:tcPr>
          <w:p>
            <w:pPr>
              <w:widowControl/>
              <w:spacing w:line="240" w:lineRule="exact"/>
              <w:jc w:val="left"/>
              <w:rPr>
                <w:rFonts w:ascii="宋体" w:hAnsi="宋体" w:cs="宋体"/>
                <w:b/>
                <w:bCs/>
                <w:kern w:val="0"/>
                <w:sz w:val="18"/>
                <w:szCs w:val="18"/>
              </w:rPr>
            </w:pPr>
            <w:r>
              <w:rPr>
                <w:rFonts w:hint="eastAsia" w:ascii="宋体" w:hAnsi="宋体" w:cs="宋体"/>
                <w:b/>
                <w:bCs/>
                <w:kern w:val="0"/>
                <w:sz w:val="18"/>
                <w:szCs w:val="18"/>
              </w:rPr>
              <w:t>1.8智能闸口控制系统</w:t>
            </w:r>
          </w:p>
        </w:tc>
      </w:tr>
      <w:tr>
        <w:tblPrEx>
          <w:tblLayout w:type="fixed"/>
          <w:tblCellMar>
            <w:top w:w="0" w:type="dxa"/>
            <w:left w:w="108" w:type="dxa"/>
            <w:bottom w:w="0" w:type="dxa"/>
            <w:right w:w="108" w:type="dxa"/>
          </w:tblCellMar>
        </w:tblPrEx>
        <w:trPr>
          <w:trHeight w:val="112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工控机</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1，内存8G；</w:t>
            </w:r>
            <w:r>
              <w:rPr>
                <w:rFonts w:hint="eastAsia" w:ascii="宋体" w:hAnsi="宋体" w:cs="宋体"/>
                <w:kern w:val="0"/>
                <w:sz w:val="18"/>
                <w:szCs w:val="18"/>
              </w:rPr>
              <w:br w:type="textWrapping"/>
            </w:r>
            <w:r>
              <w:rPr>
                <w:rFonts w:hint="eastAsia" w:ascii="宋体" w:hAnsi="宋体" w:cs="宋体"/>
                <w:kern w:val="0"/>
                <w:sz w:val="18"/>
                <w:szCs w:val="18"/>
              </w:rPr>
              <w:t>2，硬盘  1TB；</w:t>
            </w:r>
            <w:r>
              <w:rPr>
                <w:rFonts w:hint="eastAsia" w:ascii="宋体" w:hAnsi="宋体" w:cs="宋体"/>
                <w:kern w:val="0"/>
                <w:sz w:val="18"/>
                <w:szCs w:val="18"/>
              </w:rPr>
              <w:br w:type="textWrapping"/>
            </w:r>
            <w:r>
              <w:rPr>
                <w:rFonts w:hint="eastAsia" w:ascii="宋体" w:hAnsi="宋体" w:cs="宋体"/>
                <w:kern w:val="0"/>
                <w:sz w:val="18"/>
                <w:szCs w:val="18"/>
              </w:rPr>
              <w:t>3，显卡1060  6G显存；</w:t>
            </w:r>
            <w:r>
              <w:rPr>
                <w:rFonts w:hint="eastAsia" w:ascii="宋体" w:hAnsi="宋体" w:cs="宋体"/>
                <w:kern w:val="0"/>
                <w:sz w:val="18"/>
                <w:szCs w:val="18"/>
              </w:rPr>
              <w:br w:type="textWrapping"/>
            </w:r>
            <w:r>
              <w:rPr>
                <w:rFonts w:hint="eastAsia" w:ascii="宋体" w:hAnsi="宋体" w:cs="宋体"/>
                <w:kern w:val="0"/>
                <w:sz w:val="18"/>
                <w:szCs w:val="18"/>
              </w:rPr>
              <w:t>4，双千兆网口 ；</w:t>
            </w:r>
            <w:r>
              <w:rPr>
                <w:rFonts w:hint="eastAsia" w:ascii="宋体" w:hAnsi="宋体" w:cs="宋体"/>
                <w:kern w:val="0"/>
                <w:sz w:val="18"/>
                <w:szCs w:val="18"/>
              </w:rPr>
              <w:br w:type="textWrapping"/>
            </w:r>
            <w:r>
              <w:rPr>
                <w:rFonts w:hint="eastAsia" w:ascii="宋体" w:hAnsi="宋体" w:cs="宋体"/>
                <w:kern w:val="0"/>
                <w:sz w:val="18"/>
                <w:szCs w:val="18"/>
              </w:rPr>
              <w:t>5，支持3个5.25" 和1个3.5"磁盘驱动器。</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205"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车道LED屏</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1，两行6字（共12字）单红色，RJ45接口；</w:t>
            </w:r>
            <w:r>
              <w:rPr>
                <w:rFonts w:hint="eastAsia" w:ascii="宋体" w:hAnsi="宋体" w:cs="宋体"/>
                <w:kern w:val="0"/>
                <w:sz w:val="18"/>
                <w:szCs w:val="18"/>
              </w:rPr>
              <w:br w:type="textWrapping"/>
            </w:r>
            <w:r>
              <w:rPr>
                <w:rFonts w:hint="eastAsia" w:ascii="宋体" w:hAnsi="宋体" w:cs="宋体"/>
                <w:kern w:val="0"/>
                <w:sz w:val="18"/>
                <w:szCs w:val="18"/>
              </w:rPr>
              <w:t>2，★通讯接口方式：网口。</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425"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LED显示屏立柱及支架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配置满足工程要求设备。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720"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声光报警器</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1，红绿灯状态可与道闸状态同步，抬杆自动转换为绿灯、落杆自动转换为红灯；</w:t>
            </w:r>
            <w:r>
              <w:rPr>
                <w:rFonts w:hint="eastAsia" w:ascii="宋体" w:hAnsi="宋体" w:cs="宋体"/>
                <w:kern w:val="0"/>
                <w:sz w:val="18"/>
                <w:szCs w:val="18"/>
              </w:rPr>
              <w:br w:type="textWrapping"/>
            </w:r>
            <w:r>
              <w:rPr>
                <w:rFonts w:hint="eastAsia" w:ascii="宋体" w:hAnsi="宋体" w:cs="宋体"/>
                <w:kern w:val="0"/>
                <w:sz w:val="18"/>
                <w:szCs w:val="18"/>
              </w:rPr>
              <w:t>2，红绿灯只受道闸状态控制，不被其他控制单元控制。</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个</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201"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红绿灯</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200红满盘绿箭头。</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个</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361"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红绿灯安装杆件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采用优质镀锌钢材质制作。</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422"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打印机</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1，打印方式 ：行式热敏；</w:t>
            </w:r>
            <w:r>
              <w:rPr>
                <w:rFonts w:hint="eastAsia" w:ascii="宋体" w:hAnsi="宋体" w:cs="宋体"/>
                <w:kern w:val="0"/>
                <w:sz w:val="18"/>
                <w:szCs w:val="18"/>
              </w:rPr>
              <w:br w:type="textWrapping"/>
            </w:r>
            <w:r>
              <w:rPr>
                <w:rFonts w:hint="eastAsia" w:ascii="宋体" w:hAnsi="宋体" w:cs="宋体"/>
                <w:kern w:val="0"/>
                <w:sz w:val="18"/>
                <w:szCs w:val="18"/>
              </w:rPr>
              <w:t>2，通讯接口： 网口；</w:t>
            </w:r>
            <w:r>
              <w:rPr>
                <w:rFonts w:hint="eastAsia" w:ascii="宋体" w:hAnsi="宋体" w:cs="宋体"/>
                <w:kern w:val="0"/>
                <w:sz w:val="18"/>
                <w:szCs w:val="18"/>
              </w:rPr>
              <w:br w:type="textWrapping"/>
            </w:r>
            <w:r>
              <w:rPr>
                <w:rFonts w:hint="eastAsia" w:ascii="宋体" w:hAnsi="宋体" w:cs="宋体"/>
                <w:kern w:val="0"/>
                <w:sz w:val="18"/>
                <w:szCs w:val="18"/>
              </w:rPr>
              <w:t>3，打印头寿命 ≧150Km 。</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405"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语音播报器</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定制。</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个</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835"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扫描仪</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1)多种接口一体化设计；</w:t>
            </w:r>
            <w:r>
              <w:rPr>
                <w:rFonts w:hint="eastAsia" w:ascii="宋体" w:hAnsi="宋体" w:cs="宋体"/>
                <w:kern w:val="0"/>
                <w:sz w:val="18"/>
                <w:szCs w:val="18"/>
              </w:rPr>
              <w:br w:type="textWrapping"/>
            </w:r>
            <w:r>
              <w:rPr>
                <w:rFonts w:hint="eastAsia" w:ascii="宋体" w:hAnsi="宋体" w:cs="宋体"/>
                <w:kern w:val="0"/>
                <w:sz w:val="18"/>
                <w:szCs w:val="18"/>
              </w:rPr>
              <w:t>2)故障诊断指示装置：快速轻松查找故障原因，减少停工时间；</w:t>
            </w:r>
            <w:r>
              <w:rPr>
                <w:rFonts w:hint="eastAsia" w:ascii="宋体" w:hAnsi="宋体" w:cs="宋体"/>
                <w:kern w:val="0"/>
                <w:sz w:val="18"/>
                <w:szCs w:val="18"/>
              </w:rPr>
              <w:br w:type="textWrapping"/>
            </w:r>
            <w:r>
              <w:rPr>
                <w:rFonts w:hint="eastAsia" w:ascii="宋体" w:hAnsi="宋体" w:cs="宋体"/>
                <w:kern w:val="0"/>
                <w:sz w:val="18"/>
                <w:szCs w:val="18"/>
              </w:rPr>
              <w:t>3)通过USB口或串口直接上电；</w:t>
            </w:r>
            <w:r>
              <w:rPr>
                <w:rFonts w:hint="eastAsia" w:ascii="宋体" w:hAnsi="宋体" w:cs="宋体"/>
                <w:kern w:val="0"/>
                <w:sz w:val="18"/>
                <w:szCs w:val="18"/>
              </w:rPr>
              <w:br w:type="textWrapping"/>
            </w:r>
            <w:r>
              <w:rPr>
                <w:rFonts w:hint="eastAsia" w:ascii="宋体" w:hAnsi="宋体" w:cs="宋体"/>
                <w:kern w:val="0"/>
                <w:sz w:val="18"/>
                <w:szCs w:val="18"/>
              </w:rPr>
              <w:t>4)防尘性：密封以抵挡空气尘粒侵入。</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1005"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串口服务器</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1，支持 2 个 RS-232/422/485 串行通讯端口；</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2，提供串口重发（虚拟串口）,TCP 和 UDP操作模式；</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3，最多支持 16 台主机访问；</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4，Class 1, Division 2认证；</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5，★应具备 2 个 10/100Mbps 自适应以太网口。</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512"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11</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可编程逻辑</w:t>
            </w:r>
            <w:r>
              <w:rPr>
                <w:rFonts w:hint="eastAsia" w:ascii="宋体" w:hAnsi="宋体" w:cs="宋体"/>
                <w:kern w:val="0"/>
                <w:sz w:val="18"/>
                <w:szCs w:val="18"/>
              </w:rPr>
              <w:br w:type="textWrapping"/>
            </w:r>
            <w:r>
              <w:rPr>
                <w:rFonts w:hint="eastAsia" w:ascii="宋体" w:hAnsi="宋体" w:cs="宋体"/>
                <w:kern w:val="0"/>
                <w:sz w:val="18"/>
                <w:szCs w:val="18"/>
              </w:rPr>
              <w:t>控制器</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1)★应具备 2 个 10/100Mbps 自适应以太网口；</w:t>
            </w:r>
            <w:r>
              <w:rPr>
                <w:rFonts w:hint="eastAsia" w:ascii="宋体" w:hAnsi="宋体" w:cs="宋体"/>
                <w:kern w:val="0"/>
                <w:sz w:val="18"/>
                <w:szCs w:val="18"/>
              </w:rPr>
              <w:br w:type="textWrapping"/>
            </w:r>
            <w:r>
              <w:rPr>
                <w:rFonts w:hint="eastAsia" w:ascii="宋体" w:hAnsi="宋体" w:cs="宋体"/>
                <w:kern w:val="0"/>
                <w:sz w:val="18"/>
                <w:szCs w:val="18"/>
              </w:rPr>
              <w:t>2)支持 8 个 RS-232/422/485 串行通讯端口；</w:t>
            </w:r>
            <w:r>
              <w:rPr>
                <w:rFonts w:hint="eastAsia" w:ascii="宋体" w:hAnsi="宋体" w:cs="宋体"/>
                <w:kern w:val="0"/>
                <w:sz w:val="18"/>
                <w:szCs w:val="18"/>
              </w:rPr>
              <w:br w:type="textWrapping"/>
            </w:r>
            <w:r>
              <w:rPr>
                <w:rFonts w:hint="eastAsia" w:ascii="宋体" w:hAnsi="宋体" w:cs="宋体"/>
                <w:kern w:val="0"/>
                <w:sz w:val="18"/>
                <w:szCs w:val="18"/>
              </w:rPr>
              <w:t>3)支持 DIN 导轨安装或壁挂安装。</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481"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电子栏杆</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该设备已经提前安装到位，投标方应针对该设备具体参数型号，开发领先的控制方式以满足后期升级、维护方面的需求。</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r>
      <w:tr>
        <w:tblPrEx>
          <w:tblLayout w:type="fixed"/>
          <w:tblCellMar>
            <w:top w:w="0" w:type="dxa"/>
            <w:left w:w="108" w:type="dxa"/>
            <w:bottom w:w="0" w:type="dxa"/>
            <w:right w:w="108" w:type="dxa"/>
          </w:tblCellMar>
        </w:tblPrEx>
        <w:trPr>
          <w:trHeight w:val="275"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入场/离场地感线圈</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RV1.5。</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1440"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14</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车道一体机柜</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1，外型美观大方，司机操作人性化；</w:t>
            </w:r>
            <w:r>
              <w:rPr>
                <w:rFonts w:hint="eastAsia" w:ascii="宋体" w:hAnsi="宋体" w:cs="宋体"/>
                <w:kern w:val="0"/>
                <w:sz w:val="18"/>
                <w:szCs w:val="18"/>
              </w:rPr>
              <w:br w:type="textWrapping"/>
            </w:r>
            <w:r>
              <w:rPr>
                <w:rFonts w:hint="eastAsia" w:ascii="宋体" w:hAnsi="宋体" w:cs="宋体"/>
                <w:kern w:val="0"/>
                <w:sz w:val="18"/>
                <w:szCs w:val="18"/>
              </w:rPr>
              <w:t>2，★机身采用优质钢材，厚度不小于2mm，具备IP56防护等级；</w:t>
            </w:r>
            <w:r>
              <w:rPr>
                <w:rFonts w:hint="eastAsia" w:ascii="宋体" w:hAnsi="宋体" w:cs="宋体"/>
                <w:kern w:val="0"/>
                <w:sz w:val="18"/>
                <w:szCs w:val="18"/>
              </w:rPr>
              <w:br w:type="textWrapping"/>
            </w:r>
            <w:r>
              <w:rPr>
                <w:rFonts w:hint="eastAsia" w:ascii="宋体" w:hAnsi="宋体" w:cs="宋体"/>
                <w:kern w:val="0"/>
                <w:sz w:val="18"/>
                <w:szCs w:val="18"/>
              </w:rPr>
              <w:t>3，抗风力强，可抵抗55米/秒，阵风70米/秒的风力；</w:t>
            </w:r>
            <w:r>
              <w:rPr>
                <w:rFonts w:hint="eastAsia" w:ascii="宋体" w:hAnsi="宋体" w:cs="宋体"/>
                <w:kern w:val="0"/>
                <w:sz w:val="18"/>
                <w:szCs w:val="18"/>
              </w:rPr>
              <w:br w:type="textWrapping"/>
            </w:r>
            <w:r>
              <w:rPr>
                <w:rFonts w:hint="eastAsia" w:ascii="宋体" w:hAnsi="宋体" w:cs="宋体"/>
                <w:kern w:val="0"/>
                <w:sz w:val="18"/>
                <w:szCs w:val="18"/>
              </w:rPr>
              <w:t>4，机柜表面处理采用喷塑工艺技术，不褪色，有很强的抗腐性能；</w:t>
            </w:r>
            <w:r>
              <w:rPr>
                <w:rFonts w:hint="eastAsia" w:ascii="宋体" w:hAnsi="宋体" w:cs="宋体"/>
                <w:kern w:val="0"/>
                <w:sz w:val="18"/>
                <w:szCs w:val="18"/>
              </w:rPr>
              <w:br w:type="textWrapping"/>
            </w:r>
            <w:r>
              <w:rPr>
                <w:rFonts w:hint="eastAsia" w:ascii="宋体" w:hAnsi="宋体" w:cs="宋体"/>
                <w:kern w:val="0"/>
                <w:sz w:val="18"/>
                <w:szCs w:val="18"/>
              </w:rPr>
              <w:t>5，机柜内设计工业加热器，顶部设有隔热层和通风孔，防潮、放寒、耐高温。</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102"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机柜空调</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★机柜空调，应具备加热、制冷、除湿功能。</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275"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16</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交换机</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24口，10/100/1000Base-T自适应以太网端口</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841"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17</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可视对讲主机</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1)★应配置两条SIP线路 ，支持POE供电 ，支持全双工免提通话,；</w:t>
            </w:r>
            <w:r>
              <w:rPr>
                <w:rFonts w:hint="eastAsia" w:ascii="宋体" w:hAnsi="宋体" w:cs="宋体"/>
                <w:kern w:val="0"/>
                <w:sz w:val="18"/>
                <w:szCs w:val="18"/>
              </w:rPr>
              <w:br w:type="textWrapping"/>
            </w:r>
            <w:r>
              <w:rPr>
                <w:rFonts w:hint="eastAsia" w:ascii="宋体" w:hAnsi="宋体" w:cs="宋体"/>
                <w:kern w:val="0"/>
                <w:sz w:val="18"/>
                <w:szCs w:val="18"/>
              </w:rPr>
              <w:t>2)行业认证：防护等级应不低于IP65；</w:t>
            </w:r>
            <w:r>
              <w:rPr>
                <w:rFonts w:hint="eastAsia" w:ascii="宋体" w:hAnsi="宋体" w:cs="宋体"/>
                <w:kern w:val="0"/>
                <w:sz w:val="18"/>
                <w:szCs w:val="18"/>
              </w:rPr>
              <w:br w:type="textWrapping"/>
            </w:r>
            <w:r>
              <w:rPr>
                <w:rFonts w:hint="eastAsia" w:ascii="宋体" w:hAnsi="宋体" w:cs="宋体"/>
                <w:kern w:val="0"/>
                <w:sz w:val="18"/>
                <w:szCs w:val="18"/>
              </w:rPr>
              <w:t>3)设备应具备智能语音扩展接口；</w:t>
            </w:r>
            <w:r>
              <w:rPr>
                <w:rFonts w:hint="eastAsia" w:ascii="宋体" w:hAnsi="宋体" w:cs="宋体"/>
                <w:kern w:val="0"/>
                <w:sz w:val="18"/>
                <w:szCs w:val="18"/>
              </w:rPr>
              <w:br w:type="textWrapping"/>
            </w:r>
            <w:r>
              <w:rPr>
                <w:rFonts w:hint="eastAsia" w:ascii="宋体" w:hAnsi="宋体" w:cs="宋体"/>
                <w:kern w:val="0"/>
                <w:sz w:val="18"/>
                <w:szCs w:val="18"/>
              </w:rPr>
              <w:t>4)应采用先进的回音消除技术，高清晰度双向对讲。</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r>
      <w:tr>
        <w:tblPrEx>
          <w:tblLayout w:type="fixed"/>
          <w:tblCellMar>
            <w:top w:w="0" w:type="dxa"/>
            <w:left w:w="108" w:type="dxa"/>
            <w:bottom w:w="0" w:type="dxa"/>
            <w:right w:w="108" w:type="dxa"/>
          </w:tblCellMar>
        </w:tblPrEx>
        <w:trPr>
          <w:trHeight w:val="444"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18</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可视对讲分机</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1，内置环境降噪功能 ；</w:t>
            </w:r>
            <w:r>
              <w:rPr>
                <w:rFonts w:hint="eastAsia" w:ascii="宋体" w:hAnsi="宋体" w:cs="宋体"/>
                <w:kern w:val="0"/>
                <w:sz w:val="18"/>
                <w:szCs w:val="18"/>
              </w:rPr>
              <w:br w:type="textWrapping"/>
            </w:r>
            <w:r>
              <w:rPr>
                <w:rFonts w:hint="eastAsia" w:ascii="宋体" w:hAnsi="宋体" w:cs="宋体"/>
                <w:kern w:val="0"/>
                <w:sz w:val="18"/>
                <w:szCs w:val="18"/>
              </w:rPr>
              <w:t>2，双麦克全向拾音。</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96"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19</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对讲电源</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定制。</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55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车辆分离光幕（带外壳）</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1，检测高度1200MM；</w:t>
            </w:r>
            <w:r>
              <w:rPr>
                <w:rFonts w:hint="eastAsia" w:ascii="宋体" w:hAnsi="宋体" w:cs="宋体"/>
                <w:kern w:val="0"/>
                <w:sz w:val="18"/>
                <w:szCs w:val="18"/>
              </w:rPr>
              <w:br w:type="textWrapping"/>
            </w:r>
            <w:r>
              <w:rPr>
                <w:rFonts w:hint="eastAsia" w:ascii="宋体" w:hAnsi="宋体" w:cs="宋体"/>
                <w:kern w:val="0"/>
                <w:sz w:val="18"/>
                <w:szCs w:val="18"/>
              </w:rPr>
              <w:t>2，光轴数32；</w:t>
            </w:r>
            <w:r>
              <w:rPr>
                <w:rFonts w:hint="eastAsia" w:ascii="宋体" w:hAnsi="宋体" w:cs="宋体"/>
                <w:kern w:val="0"/>
                <w:sz w:val="18"/>
                <w:szCs w:val="18"/>
              </w:rPr>
              <w:br w:type="textWrapping"/>
            </w:r>
            <w:r>
              <w:rPr>
                <w:rFonts w:hint="eastAsia" w:ascii="宋体" w:hAnsi="宋体" w:cs="宋体"/>
                <w:kern w:val="0"/>
                <w:sz w:val="18"/>
                <w:szCs w:val="18"/>
              </w:rPr>
              <w:t>3，加热外壳。</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251"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21</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防跟车检测系统软件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定制。</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329"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22</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智能卡口系统软件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定制。</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419"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23</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智能闸口设备监控系统软件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定制。</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377" w:hRule="atLeast"/>
          <w:jc w:val="center"/>
        </w:trPr>
        <w:tc>
          <w:tcPr>
            <w:tcW w:w="10201" w:type="dxa"/>
            <w:gridSpan w:val="5"/>
            <w:tcBorders>
              <w:top w:val="single" w:color="auto" w:sz="4" w:space="0"/>
              <w:left w:val="single" w:color="auto" w:sz="4" w:space="0"/>
              <w:bottom w:val="single" w:color="auto" w:sz="4" w:space="0"/>
              <w:right w:val="single" w:color="000000" w:sz="4" w:space="0"/>
            </w:tcBorders>
            <w:vAlign w:val="center"/>
          </w:tcPr>
          <w:p>
            <w:pPr>
              <w:widowControl/>
              <w:spacing w:line="240" w:lineRule="exact"/>
              <w:jc w:val="left"/>
              <w:rPr>
                <w:rFonts w:ascii="宋体" w:hAnsi="宋体" w:cs="宋体"/>
                <w:b/>
                <w:bCs/>
                <w:kern w:val="0"/>
                <w:sz w:val="18"/>
                <w:szCs w:val="18"/>
              </w:rPr>
            </w:pPr>
            <w:r>
              <w:rPr>
                <w:rFonts w:hint="eastAsia" w:ascii="宋体" w:hAnsi="宋体" w:cs="宋体"/>
                <w:b/>
                <w:bCs/>
                <w:kern w:val="0"/>
                <w:sz w:val="18"/>
                <w:szCs w:val="18"/>
              </w:rPr>
              <w:t>1.9地磅称重系统</w:t>
            </w:r>
          </w:p>
        </w:tc>
      </w:tr>
      <w:tr>
        <w:tblPrEx>
          <w:tblLayout w:type="fixed"/>
          <w:tblCellMar>
            <w:top w:w="0" w:type="dxa"/>
            <w:left w:w="108" w:type="dxa"/>
            <w:bottom w:w="0" w:type="dxa"/>
            <w:right w:w="108" w:type="dxa"/>
          </w:tblCellMar>
        </w:tblPrEx>
        <w:trPr>
          <w:trHeight w:val="28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地磅采集软件</w:t>
            </w:r>
          </w:p>
        </w:tc>
        <w:tc>
          <w:tcPr>
            <w:tcW w:w="64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定制</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431" w:hRule="atLeast"/>
          <w:jc w:val="center"/>
        </w:trPr>
        <w:tc>
          <w:tcPr>
            <w:tcW w:w="10201" w:type="dxa"/>
            <w:gridSpan w:val="5"/>
            <w:tcBorders>
              <w:top w:val="single" w:color="auto" w:sz="4" w:space="0"/>
              <w:left w:val="nil"/>
              <w:bottom w:val="nil"/>
              <w:right w:val="nil"/>
            </w:tcBorders>
            <w:vAlign w:val="center"/>
          </w:tcPr>
          <w:p>
            <w:pPr>
              <w:widowControl/>
              <w:spacing w:line="240" w:lineRule="exact"/>
              <w:jc w:val="left"/>
              <w:rPr>
                <w:rFonts w:ascii="宋体" w:hAnsi="宋体" w:cs="宋体"/>
                <w:b/>
                <w:bCs/>
                <w:kern w:val="0"/>
                <w:sz w:val="18"/>
                <w:szCs w:val="18"/>
              </w:rPr>
            </w:pPr>
            <w:r>
              <w:rPr>
                <w:rFonts w:hint="eastAsia" w:ascii="宋体" w:hAnsi="宋体" w:cs="宋体"/>
                <w:b/>
                <w:bCs/>
                <w:kern w:val="0"/>
                <w:sz w:val="18"/>
                <w:szCs w:val="18"/>
              </w:rPr>
              <w:t>1.10线缆辅材</w:t>
            </w:r>
          </w:p>
        </w:tc>
      </w:tr>
      <w:tr>
        <w:tblPrEx>
          <w:tblLayout w:type="fixed"/>
          <w:tblCellMar>
            <w:top w:w="0" w:type="dxa"/>
            <w:left w:w="108" w:type="dxa"/>
            <w:bottom w:w="0" w:type="dxa"/>
            <w:right w:w="108" w:type="dxa"/>
          </w:tblCellMar>
        </w:tblPrEx>
        <w:trPr>
          <w:trHeight w:val="267" w:hRule="atLeast"/>
          <w:jc w:val="center"/>
        </w:trPr>
        <w:tc>
          <w:tcPr>
            <w:tcW w:w="4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9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闸口设备线缆</w:t>
            </w:r>
          </w:p>
        </w:tc>
        <w:tc>
          <w:tcPr>
            <w:tcW w:w="645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根据现场情况定制</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r>
      <w:tr>
        <w:tblPrEx>
          <w:tblLayout w:type="fixed"/>
          <w:tblCellMar>
            <w:top w:w="0" w:type="dxa"/>
            <w:left w:w="108" w:type="dxa"/>
            <w:bottom w:w="0" w:type="dxa"/>
            <w:right w:w="108" w:type="dxa"/>
          </w:tblCellMar>
        </w:tblPrEx>
        <w:trPr>
          <w:trHeight w:val="427"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闸口设备辅材</w:t>
            </w:r>
          </w:p>
        </w:tc>
        <w:tc>
          <w:tcPr>
            <w:tcW w:w="64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根据现场情况定制</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r>
      <w:tr>
        <w:tblPrEx>
          <w:tblLayout w:type="fixed"/>
          <w:tblCellMar>
            <w:top w:w="0" w:type="dxa"/>
            <w:left w:w="108" w:type="dxa"/>
            <w:bottom w:w="0" w:type="dxa"/>
            <w:right w:w="108" w:type="dxa"/>
          </w:tblCellMar>
        </w:tblPrEx>
        <w:trPr>
          <w:trHeight w:val="263" w:hRule="atLeast"/>
          <w:jc w:val="center"/>
        </w:trPr>
        <w:tc>
          <w:tcPr>
            <w:tcW w:w="10201" w:type="dxa"/>
            <w:gridSpan w:val="5"/>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二、4条散杂货车辆车道及2条超宽进出可变车辆车道</w:t>
            </w:r>
          </w:p>
        </w:tc>
      </w:tr>
      <w:tr>
        <w:tblPrEx>
          <w:tblLayout w:type="fixed"/>
          <w:tblCellMar>
            <w:top w:w="0" w:type="dxa"/>
            <w:left w:w="108" w:type="dxa"/>
            <w:bottom w:w="0" w:type="dxa"/>
            <w:right w:w="108" w:type="dxa"/>
          </w:tblCellMar>
        </w:tblPrEx>
        <w:trPr>
          <w:trHeight w:val="280" w:hRule="atLeast"/>
          <w:jc w:val="center"/>
        </w:trPr>
        <w:tc>
          <w:tcPr>
            <w:tcW w:w="10201" w:type="dxa"/>
            <w:gridSpan w:val="5"/>
            <w:tcBorders>
              <w:top w:val="single" w:color="auto" w:sz="4" w:space="0"/>
              <w:left w:val="single" w:color="auto" w:sz="4" w:space="0"/>
              <w:bottom w:val="single" w:color="auto" w:sz="4" w:space="0"/>
              <w:right w:val="single" w:color="000000" w:sz="4" w:space="0"/>
            </w:tcBorders>
            <w:vAlign w:val="center"/>
          </w:tcPr>
          <w:p>
            <w:pPr>
              <w:widowControl/>
              <w:spacing w:line="240" w:lineRule="exact"/>
              <w:jc w:val="left"/>
              <w:rPr>
                <w:rFonts w:ascii="宋体" w:hAnsi="宋体" w:cs="宋体"/>
                <w:b/>
                <w:bCs/>
                <w:kern w:val="0"/>
                <w:sz w:val="18"/>
                <w:szCs w:val="18"/>
              </w:rPr>
            </w:pPr>
            <w:r>
              <w:rPr>
                <w:rFonts w:hint="eastAsia" w:ascii="宋体" w:hAnsi="宋体" w:cs="宋体"/>
                <w:b/>
                <w:bCs/>
                <w:kern w:val="0"/>
                <w:sz w:val="18"/>
                <w:szCs w:val="18"/>
              </w:rPr>
              <w:t>2.1高清车牌识别系统</w:t>
            </w:r>
          </w:p>
        </w:tc>
      </w:tr>
      <w:tr>
        <w:tblPrEx>
          <w:tblLayout w:type="fixed"/>
          <w:tblCellMar>
            <w:top w:w="0" w:type="dxa"/>
            <w:left w:w="108" w:type="dxa"/>
            <w:bottom w:w="0" w:type="dxa"/>
            <w:right w:w="108" w:type="dxa"/>
          </w:tblCellMar>
        </w:tblPrEx>
        <w:trPr>
          <w:trHeight w:val="1560"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车牌识别一体机</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1，★选用不低于300万像素高清相机；</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2，分辨率≧1920*1080；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3，支持：H.265 / H.264；</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4，工作温度和湿度：-30℃~60℃，湿度小于95%(无凝结)，-H:-40℃~60℃；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5，红外距离 20-50米；</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6，防护等级 IP67。</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39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车牌摄像机立柱</w:t>
            </w:r>
            <w:r>
              <w:rPr>
                <w:rFonts w:hint="eastAsia" w:ascii="宋体" w:hAnsi="宋体" w:cs="宋体"/>
                <w:kern w:val="0"/>
                <w:sz w:val="18"/>
                <w:szCs w:val="18"/>
              </w:rPr>
              <w:br w:type="textWrapping"/>
            </w:r>
            <w:r>
              <w:rPr>
                <w:rFonts w:hint="eastAsia" w:ascii="宋体" w:hAnsi="宋体" w:cs="宋体"/>
                <w:kern w:val="0"/>
                <w:sz w:val="18"/>
                <w:szCs w:val="18"/>
              </w:rPr>
              <w:t>抱箍及安装支架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定制，采用镀锌钢材质制作。</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1052"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LED补光灯</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1，光源类型：进口LED光源；</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2，光通量≥1320LM；；</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3，发光角度：15度/45度；</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4，工作温度：-25°~ 70°；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5，防护等级：IP65。</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70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车辆检测器</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1，工作温度：-20℃~65℃；</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2，反应时间：小于10ms；</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3，存在时间：无限存在/有限存在10分钟 ；</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4，灵 敏 度：四级可调；</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5，线圈电感量：100uH至300uH。</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321"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地感线圈</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RV1.5。</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410"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车牌号码自动识别系统软件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★车牌识别正确率应不低于97%，车辆扑捉率应不低于99%。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219" w:hRule="atLeast"/>
          <w:jc w:val="center"/>
        </w:trPr>
        <w:tc>
          <w:tcPr>
            <w:tcW w:w="10201" w:type="dxa"/>
            <w:gridSpan w:val="5"/>
            <w:tcBorders>
              <w:top w:val="single" w:color="auto" w:sz="4" w:space="0"/>
              <w:left w:val="single" w:color="auto" w:sz="4" w:space="0"/>
              <w:bottom w:val="single" w:color="auto" w:sz="4" w:space="0"/>
              <w:right w:val="single" w:color="000000" w:sz="4" w:space="0"/>
            </w:tcBorders>
            <w:vAlign w:val="center"/>
          </w:tcPr>
          <w:p>
            <w:pPr>
              <w:widowControl/>
              <w:spacing w:line="240" w:lineRule="exact"/>
              <w:jc w:val="left"/>
              <w:rPr>
                <w:rFonts w:ascii="宋体" w:hAnsi="宋体" w:cs="宋体"/>
                <w:b/>
                <w:bCs/>
                <w:kern w:val="0"/>
                <w:sz w:val="18"/>
                <w:szCs w:val="18"/>
              </w:rPr>
            </w:pPr>
            <w:r>
              <w:rPr>
                <w:rFonts w:hint="eastAsia" w:ascii="宋体" w:hAnsi="宋体" w:cs="宋体"/>
                <w:b/>
                <w:bCs/>
                <w:kern w:val="0"/>
                <w:sz w:val="18"/>
                <w:szCs w:val="18"/>
              </w:rPr>
              <w:t>2.2 IC卡识别系统</w:t>
            </w:r>
          </w:p>
        </w:tc>
      </w:tr>
      <w:tr>
        <w:tblPrEx>
          <w:tblLayout w:type="fixed"/>
          <w:tblCellMar>
            <w:top w:w="0" w:type="dxa"/>
            <w:left w:w="108" w:type="dxa"/>
            <w:bottom w:w="0" w:type="dxa"/>
            <w:right w:w="108" w:type="dxa"/>
          </w:tblCellMar>
        </w:tblPrEx>
        <w:trPr>
          <w:trHeight w:val="818"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IC卡读写器(含电源）</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1，可配置4个SAM安全模块；</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 xml:space="preserve">2，符合CE、FCC、RoHS                                                            </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3，工作环境 温度：-20℃～80℃；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4，相对湿度：10% ～90%。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1266"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自动发卡机(含电源）</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1，接口 RS232/RS485/电平控制；</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2，发行速度 1s/张；</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3，卡片最大装载（无卡筒级联情况下） 130mm（160张0.7mm卡）；</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4，卡片尺寸 长度：76mm～86mm  宽度：53mm-56mm  厚度：0.3mm-2.0mm；</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5，剩余卡片数量检测（可调） 25-100张（可调）；</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6，工作环境 -20℃～85℃，20%～90%RH。</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r>
      <w:tr>
        <w:tblPrEx>
          <w:tblLayout w:type="fixed"/>
          <w:tblCellMar>
            <w:top w:w="0" w:type="dxa"/>
            <w:left w:w="108" w:type="dxa"/>
            <w:bottom w:w="0" w:type="dxa"/>
            <w:right w:w="108" w:type="dxa"/>
          </w:tblCellMar>
        </w:tblPrEx>
        <w:trPr>
          <w:trHeight w:val="1244"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自动收卡机(含电源）</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1，发生堵塞时可以选择超时退卡或超时不退卡，以及强制收卡或退卡；</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2，当卡片识别动作超时，可选择超时退卡或超时不退卡；</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3，可以选择卡片识别动作超时退卡时间；</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4，错误状态声光报警；</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5，环境特性温度： -40℃ to 85℃（工业级）；</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6，湿度： 30-90% （相对湿度）。</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r>
      <w:tr>
        <w:tblPrEx>
          <w:tblLayout w:type="fixed"/>
          <w:tblCellMar>
            <w:top w:w="0" w:type="dxa"/>
            <w:left w:w="108" w:type="dxa"/>
            <w:bottom w:w="0" w:type="dxa"/>
            <w:right w:w="108" w:type="dxa"/>
          </w:tblCellMar>
        </w:tblPrEx>
        <w:trPr>
          <w:trHeight w:val="782"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IC卡管理系统软件</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1，IC卡备案数据写入；</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2，IC卡发放管理；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3，IC卡回收管理；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4，IC卡相关信息数据查询。</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102" w:hRule="atLeast"/>
          <w:jc w:val="center"/>
        </w:trPr>
        <w:tc>
          <w:tcPr>
            <w:tcW w:w="10201" w:type="dxa"/>
            <w:gridSpan w:val="5"/>
            <w:tcBorders>
              <w:top w:val="single" w:color="auto" w:sz="4" w:space="0"/>
              <w:left w:val="single" w:color="auto" w:sz="4" w:space="0"/>
              <w:bottom w:val="single" w:color="auto" w:sz="4" w:space="0"/>
              <w:right w:val="single" w:color="000000" w:sz="4" w:space="0"/>
            </w:tcBorders>
            <w:vAlign w:val="center"/>
          </w:tcPr>
          <w:p>
            <w:pPr>
              <w:widowControl/>
              <w:spacing w:line="240" w:lineRule="exact"/>
              <w:jc w:val="left"/>
              <w:rPr>
                <w:rFonts w:ascii="宋体" w:hAnsi="宋体" w:cs="宋体"/>
                <w:b/>
                <w:bCs/>
                <w:kern w:val="0"/>
                <w:sz w:val="18"/>
                <w:szCs w:val="18"/>
              </w:rPr>
            </w:pPr>
            <w:r>
              <w:rPr>
                <w:rFonts w:hint="eastAsia" w:ascii="宋体" w:hAnsi="宋体" w:cs="宋体"/>
                <w:b/>
                <w:bCs/>
                <w:kern w:val="0"/>
                <w:sz w:val="18"/>
                <w:szCs w:val="18"/>
              </w:rPr>
              <w:t>2.3 LED通道引导屏系统</w:t>
            </w:r>
          </w:p>
        </w:tc>
      </w:tr>
      <w:tr>
        <w:tblPrEx>
          <w:tblLayout w:type="fixed"/>
          <w:tblCellMar>
            <w:top w:w="0" w:type="dxa"/>
            <w:left w:w="108" w:type="dxa"/>
            <w:bottom w:w="0" w:type="dxa"/>
            <w:right w:w="108" w:type="dxa"/>
          </w:tblCellMar>
        </w:tblPrEx>
        <w:trPr>
          <w:trHeight w:val="70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车道引导屏LED引导屏</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1，亮度：≥5000cd/m2；</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2，亮度调节方式：软件16级可调；</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3，显示内容：文字、图片、视频、时钟、日期、温度、湿度等；</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4，控制系统采用：网口或USB传输（可选）；</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5，平均无故障时间：≥10000小时；</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6，寿命：大于5万小时；</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7，★通讯接口方式：网口。</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70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LED引导屏安装杆件及基础笼</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1，优质镀锌管定制；</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2，管壁：≥3mm；</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3，基础笼：定制。</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266"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LED引导屏软件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定制。</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271" w:hRule="atLeast"/>
          <w:jc w:val="center"/>
        </w:trPr>
        <w:tc>
          <w:tcPr>
            <w:tcW w:w="10201" w:type="dxa"/>
            <w:gridSpan w:val="5"/>
            <w:tcBorders>
              <w:top w:val="single" w:color="auto" w:sz="4" w:space="0"/>
              <w:left w:val="single" w:color="auto" w:sz="4" w:space="0"/>
              <w:bottom w:val="single" w:color="auto" w:sz="4" w:space="0"/>
              <w:right w:val="single" w:color="000000" w:sz="4" w:space="0"/>
            </w:tcBorders>
            <w:vAlign w:val="center"/>
          </w:tcPr>
          <w:p>
            <w:pPr>
              <w:widowControl/>
              <w:spacing w:line="240" w:lineRule="exact"/>
              <w:jc w:val="left"/>
              <w:rPr>
                <w:rFonts w:ascii="宋体" w:hAnsi="宋体" w:cs="宋体"/>
                <w:b/>
                <w:bCs/>
                <w:kern w:val="0"/>
                <w:sz w:val="18"/>
                <w:szCs w:val="18"/>
              </w:rPr>
            </w:pPr>
            <w:r>
              <w:rPr>
                <w:rFonts w:hint="eastAsia" w:ascii="宋体" w:hAnsi="宋体" w:cs="宋体"/>
                <w:b/>
                <w:bCs/>
                <w:kern w:val="0"/>
                <w:sz w:val="18"/>
                <w:szCs w:val="18"/>
              </w:rPr>
              <w:t>2.4智能闸口控制系统</w:t>
            </w:r>
          </w:p>
        </w:tc>
      </w:tr>
      <w:tr>
        <w:tblPrEx>
          <w:tblLayout w:type="fixed"/>
          <w:tblCellMar>
            <w:top w:w="0" w:type="dxa"/>
            <w:left w:w="108" w:type="dxa"/>
            <w:bottom w:w="0" w:type="dxa"/>
            <w:right w:w="108" w:type="dxa"/>
          </w:tblCellMar>
        </w:tblPrEx>
        <w:trPr>
          <w:trHeight w:val="98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工控机</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1，内存8G；</w:t>
            </w:r>
            <w:r>
              <w:rPr>
                <w:rFonts w:hint="eastAsia" w:ascii="宋体" w:hAnsi="宋体" w:cs="宋体"/>
                <w:kern w:val="0"/>
                <w:sz w:val="18"/>
                <w:szCs w:val="18"/>
              </w:rPr>
              <w:br w:type="textWrapping"/>
            </w:r>
            <w:r>
              <w:rPr>
                <w:rFonts w:hint="eastAsia" w:ascii="宋体" w:hAnsi="宋体" w:cs="宋体"/>
                <w:kern w:val="0"/>
                <w:sz w:val="18"/>
                <w:szCs w:val="18"/>
              </w:rPr>
              <w:t>2，硬盘  1TB；</w:t>
            </w:r>
            <w:r>
              <w:rPr>
                <w:rFonts w:hint="eastAsia" w:ascii="宋体" w:hAnsi="宋体" w:cs="宋体"/>
                <w:kern w:val="0"/>
                <w:sz w:val="18"/>
                <w:szCs w:val="18"/>
              </w:rPr>
              <w:br w:type="textWrapping"/>
            </w:r>
            <w:r>
              <w:rPr>
                <w:rFonts w:hint="eastAsia" w:ascii="宋体" w:hAnsi="宋体" w:cs="宋体"/>
                <w:kern w:val="0"/>
                <w:sz w:val="18"/>
                <w:szCs w:val="18"/>
              </w:rPr>
              <w:t>3，显卡1060  6G显存；</w:t>
            </w:r>
            <w:r>
              <w:rPr>
                <w:rFonts w:hint="eastAsia" w:ascii="宋体" w:hAnsi="宋体" w:cs="宋体"/>
                <w:kern w:val="0"/>
                <w:sz w:val="18"/>
                <w:szCs w:val="18"/>
              </w:rPr>
              <w:br w:type="textWrapping"/>
            </w:r>
            <w:r>
              <w:rPr>
                <w:rFonts w:hint="eastAsia" w:ascii="宋体" w:hAnsi="宋体" w:cs="宋体"/>
                <w:kern w:val="0"/>
                <w:sz w:val="18"/>
                <w:szCs w:val="18"/>
              </w:rPr>
              <w:t>4，双千兆网口 ；</w:t>
            </w:r>
            <w:r>
              <w:rPr>
                <w:rFonts w:hint="eastAsia" w:ascii="宋体" w:hAnsi="宋体" w:cs="宋体"/>
                <w:kern w:val="0"/>
                <w:sz w:val="18"/>
                <w:szCs w:val="18"/>
              </w:rPr>
              <w:br w:type="textWrapping"/>
            </w:r>
            <w:r>
              <w:rPr>
                <w:rFonts w:hint="eastAsia" w:ascii="宋体" w:hAnsi="宋体" w:cs="宋体"/>
                <w:kern w:val="0"/>
                <w:sz w:val="18"/>
                <w:szCs w:val="18"/>
              </w:rPr>
              <w:t>5，支持3个5.25" 和1个3.5"磁盘驱动器。</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335"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车道LED屏</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1，两行6字（共12字）单红色，RJ45接口；</w:t>
            </w:r>
            <w:r>
              <w:rPr>
                <w:rFonts w:hint="eastAsia" w:ascii="宋体" w:hAnsi="宋体" w:cs="宋体"/>
                <w:kern w:val="0"/>
                <w:sz w:val="18"/>
                <w:szCs w:val="18"/>
              </w:rPr>
              <w:br w:type="textWrapping"/>
            </w:r>
            <w:r>
              <w:rPr>
                <w:rFonts w:hint="eastAsia" w:ascii="宋体" w:hAnsi="宋体" w:cs="宋体"/>
                <w:kern w:val="0"/>
                <w:sz w:val="18"/>
                <w:szCs w:val="18"/>
              </w:rPr>
              <w:t>2，★通讯接口方式：网口。</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47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LED显示屏立柱及支架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配置满足工程要求设备。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349"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红绿灯</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200红满盘绿箭头。</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个</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127"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红绿灯安装杆件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采用优质镀锌钢材质制作。</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1126"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串口服务器</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1，支持 2 个 RS-232/422/485 串行通讯端口；</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2，提供串口重发（虚拟串口）,TCP 和 UDP操作模式；</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3，最多支持 16 台主机访问；</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4，Class 1, Division 2认证；</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5，★应具备 2 个 10/100Mbps 自适应以太网口。</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517"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打印机</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1，打印方式 ：行式热敏；</w:t>
            </w:r>
            <w:r>
              <w:rPr>
                <w:rFonts w:hint="eastAsia" w:ascii="宋体" w:hAnsi="宋体" w:cs="宋体"/>
                <w:kern w:val="0"/>
                <w:sz w:val="18"/>
                <w:szCs w:val="18"/>
              </w:rPr>
              <w:br w:type="textWrapping"/>
            </w:r>
            <w:r>
              <w:rPr>
                <w:rFonts w:hint="eastAsia" w:ascii="宋体" w:hAnsi="宋体" w:cs="宋体"/>
                <w:kern w:val="0"/>
                <w:sz w:val="18"/>
                <w:szCs w:val="18"/>
              </w:rPr>
              <w:t>2，通讯接口： 网口；</w:t>
            </w:r>
            <w:r>
              <w:rPr>
                <w:rFonts w:hint="eastAsia" w:ascii="宋体" w:hAnsi="宋体" w:cs="宋体"/>
                <w:kern w:val="0"/>
                <w:sz w:val="18"/>
                <w:szCs w:val="18"/>
              </w:rPr>
              <w:br w:type="textWrapping"/>
            </w:r>
            <w:r>
              <w:rPr>
                <w:rFonts w:hint="eastAsia" w:ascii="宋体" w:hAnsi="宋体" w:cs="宋体"/>
                <w:kern w:val="0"/>
                <w:sz w:val="18"/>
                <w:szCs w:val="18"/>
              </w:rPr>
              <w:t>3，打印头寿命 ≧150Km 。</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499"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可编程逻辑</w:t>
            </w:r>
            <w:r>
              <w:rPr>
                <w:rFonts w:hint="eastAsia" w:ascii="宋体" w:hAnsi="宋体" w:cs="宋体"/>
                <w:kern w:val="0"/>
                <w:sz w:val="18"/>
                <w:szCs w:val="18"/>
              </w:rPr>
              <w:br w:type="textWrapping"/>
            </w:r>
            <w:r>
              <w:rPr>
                <w:rFonts w:hint="eastAsia" w:ascii="宋体" w:hAnsi="宋体" w:cs="宋体"/>
                <w:kern w:val="0"/>
                <w:sz w:val="18"/>
                <w:szCs w:val="18"/>
              </w:rPr>
              <w:t>控制器</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1)★应具备 2 个 10/100Mbps 自适应以太网口；</w:t>
            </w:r>
            <w:r>
              <w:rPr>
                <w:rFonts w:hint="eastAsia" w:ascii="宋体" w:hAnsi="宋体" w:cs="宋体"/>
                <w:kern w:val="0"/>
                <w:sz w:val="18"/>
                <w:szCs w:val="18"/>
              </w:rPr>
              <w:br w:type="textWrapping"/>
            </w:r>
            <w:r>
              <w:rPr>
                <w:rFonts w:hint="eastAsia" w:ascii="宋体" w:hAnsi="宋体" w:cs="宋体"/>
                <w:kern w:val="0"/>
                <w:sz w:val="18"/>
                <w:szCs w:val="18"/>
              </w:rPr>
              <w:t>2)支持 8 个 RS-232/422/485 串行通讯端口；</w:t>
            </w:r>
            <w:r>
              <w:rPr>
                <w:rFonts w:hint="eastAsia" w:ascii="宋体" w:hAnsi="宋体" w:cs="宋体"/>
                <w:kern w:val="0"/>
                <w:sz w:val="18"/>
                <w:szCs w:val="18"/>
              </w:rPr>
              <w:br w:type="textWrapping"/>
            </w:r>
            <w:r>
              <w:rPr>
                <w:rFonts w:hint="eastAsia" w:ascii="宋体" w:hAnsi="宋体" w:cs="宋体"/>
                <w:kern w:val="0"/>
                <w:sz w:val="18"/>
                <w:szCs w:val="18"/>
              </w:rPr>
              <w:t>3)支持 DIN 导轨安装或壁挂安装。</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339"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电子栏杆</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kern w:val="0"/>
                <w:sz w:val="18"/>
                <w:szCs w:val="18"/>
              </w:rPr>
            </w:pPr>
            <w:r>
              <w:rPr>
                <w:rFonts w:hint="eastAsia" w:ascii="宋体" w:hAnsi="宋体" w:cs="宋体"/>
                <w:kern w:val="0"/>
                <w:sz w:val="18"/>
                <w:szCs w:val="18"/>
              </w:rPr>
              <w:t>该设备已经提前安装到位，投标方应针对该设备具体参数型号，开发领先的控制方式以满足后期升级、维护方面的需求。</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r>
      <w:tr>
        <w:tblPrEx>
          <w:tblLayout w:type="fixed"/>
          <w:tblCellMar>
            <w:top w:w="0" w:type="dxa"/>
            <w:left w:w="108" w:type="dxa"/>
            <w:bottom w:w="0" w:type="dxa"/>
            <w:right w:w="108" w:type="dxa"/>
          </w:tblCellMar>
        </w:tblPrEx>
        <w:trPr>
          <w:trHeight w:val="261"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入场/离场地感线圈</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kern w:val="0"/>
                <w:sz w:val="18"/>
                <w:szCs w:val="18"/>
              </w:rPr>
            </w:pPr>
            <w:r>
              <w:rPr>
                <w:rFonts w:hint="eastAsia" w:ascii="宋体" w:hAnsi="宋体" w:cs="宋体"/>
                <w:kern w:val="0"/>
                <w:sz w:val="18"/>
                <w:szCs w:val="18"/>
              </w:rPr>
              <w:t>RV1.5。</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1300"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11</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车道一体机柜</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1，外型美观大方，司机操作人性化；</w:t>
            </w:r>
            <w:r>
              <w:rPr>
                <w:rFonts w:hint="eastAsia" w:ascii="宋体" w:hAnsi="宋体" w:cs="宋体"/>
                <w:kern w:val="0"/>
                <w:sz w:val="18"/>
                <w:szCs w:val="18"/>
              </w:rPr>
              <w:br w:type="textWrapping"/>
            </w:r>
            <w:r>
              <w:rPr>
                <w:rFonts w:hint="eastAsia" w:ascii="宋体" w:hAnsi="宋体" w:cs="宋体"/>
                <w:kern w:val="0"/>
                <w:sz w:val="18"/>
                <w:szCs w:val="18"/>
              </w:rPr>
              <w:t>2，★机身采用优质钢材，厚度不小于2mm，具备IP56防护等级；</w:t>
            </w:r>
            <w:r>
              <w:rPr>
                <w:rFonts w:hint="eastAsia" w:ascii="宋体" w:hAnsi="宋体" w:cs="宋体"/>
                <w:kern w:val="0"/>
                <w:sz w:val="18"/>
                <w:szCs w:val="18"/>
              </w:rPr>
              <w:br w:type="textWrapping"/>
            </w:r>
            <w:r>
              <w:rPr>
                <w:rFonts w:hint="eastAsia" w:ascii="宋体" w:hAnsi="宋体" w:cs="宋体"/>
                <w:kern w:val="0"/>
                <w:sz w:val="18"/>
                <w:szCs w:val="18"/>
              </w:rPr>
              <w:t>3，抗风力强，可抵抗55米/秒，阵风70米/秒的风力；</w:t>
            </w:r>
            <w:r>
              <w:rPr>
                <w:rFonts w:hint="eastAsia" w:ascii="宋体" w:hAnsi="宋体" w:cs="宋体"/>
                <w:kern w:val="0"/>
                <w:sz w:val="18"/>
                <w:szCs w:val="18"/>
              </w:rPr>
              <w:br w:type="textWrapping"/>
            </w:r>
            <w:r>
              <w:rPr>
                <w:rFonts w:hint="eastAsia" w:ascii="宋体" w:hAnsi="宋体" w:cs="宋体"/>
                <w:kern w:val="0"/>
                <w:sz w:val="18"/>
                <w:szCs w:val="18"/>
              </w:rPr>
              <w:t>4，机柜表面处理采用喷塑工艺技术，不褪色，有很强的抗腐性能；</w:t>
            </w:r>
            <w:r>
              <w:rPr>
                <w:rFonts w:hint="eastAsia" w:ascii="宋体" w:hAnsi="宋体" w:cs="宋体"/>
                <w:kern w:val="0"/>
                <w:sz w:val="18"/>
                <w:szCs w:val="18"/>
              </w:rPr>
              <w:br w:type="textWrapping"/>
            </w:r>
            <w:r>
              <w:rPr>
                <w:rFonts w:hint="eastAsia" w:ascii="宋体" w:hAnsi="宋体" w:cs="宋体"/>
                <w:kern w:val="0"/>
                <w:sz w:val="18"/>
                <w:szCs w:val="18"/>
              </w:rPr>
              <w:t>5，机柜内设计工业加热器，顶部设有隔热层和通风孔，防潮、放寒、耐高温。</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251"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机柜空调</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★机柜空调，应具备加热、制冷、除湿功能。</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127"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交换机</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kern w:val="0"/>
                <w:sz w:val="18"/>
                <w:szCs w:val="18"/>
              </w:rPr>
            </w:pPr>
            <w:r>
              <w:rPr>
                <w:rFonts w:hint="eastAsia" w:ascii="宋体" w:hAnsi="宋体" w:cs="宋体"/>
                <w:kern w:val="0"/>
                <w:sz w:val="18"/>
                <w:szCs w:val="18"/>
              </w:rPr>
              <w:t>24口，10/100/1000Base-T自适应以太网端口</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314"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14</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可视对讲分机</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1，内置环境降噪功能 ；</w:t>
            </w:r>
            <w:r>
              <w:rPr>
                <w:rFonts w:hint="eastAsia" w:ascii="宋体" w:hAnsi="宋体" w:cs="宋体"/>
                <w:kern w:val="0"/>
                <w:sz w:val="18"/>
                <w:szCs w:val="18"/>
              </w:rPr>
              <w:br w:type="textWrapping"/>
            </w:r>
            <w:r>
              <w:rPr>
                <w:rFonts w:hint="eastAsia" w:ascii="宋体" w:hAnsi="宋体" w:cs="宋体"/>
                <w:kern w:val="0"/>
                <w:sz w:val="18"/>
                <w:szCs w:val="18"/>
              </w:rPr>
              <w:t>2，双麦克全向拾音。</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251"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对讲电源</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定制。</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127"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16</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智能卡口系统软件</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定制。</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44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17</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智能闸口设备监控系统软件</w:t>
            </w:r>
          </w:p>
        </w:tc>
        <w:tc>
          <w:tcPr>
            <w:tcW w:w="6456" w:type="dxa"/>
            <w:tcBorders>
              <w:top w:val="nil"/>
              <w:left w:val="nil"/>
              <w:bottom w:val="single" w:color="auto" w:sz="4" w:space="0"/>
              <w:right w:val="single" w:color="auto" w:sz="4" w:space="0"/>
            </w:tcBorders>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定制。</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r>
      <w:tr>
        <w:tblPrEx>
          <w:tblLayout w:type="fixed"/>
          <w:tblCellMar>
            <w:top w:w="0" w:type="dxa"/>
            <w:left w:w="108" w:type="dxa"/>
            <w:bottom w:w="0" w:type="dxa"/>
            <w:right w:w="108" w:type="dxa"/>
          </w:tblCellMar>
        </w:tblPrEx>
        <w:trPr>
          <w:trHeight w:val="223" w:hRule="atLeast"/>
          <w:jc w:val="center"/>
        </w:trPr>
        <w:tc>
          <w:tcPr>
            <w:tcW w:w="10201" w:type="dxa"/>
            <w:gridSpan w:val="5"/>
            <w:tcBorders>
              <w:top w:val="single" w:color="auto" w:sz="4" w:space="0"/>
              <w:left w:val="nil"/>
              <w:bottom w:val="nil"/>
              <w:right w:val="nil"/>
            </w:tcBorders>
            <w:vAlign w:val="center"/>
          </w:tcPr>
          <w:p>
            <w:pPr>
              <w:widowControl/>
              <w:spacing w:line="240" w:lineRule="exact"/>
              <w:jc w:val="left"/>
              <w:rPr>
                <w:rFonts w:ascii="宋体" w:hAnsi="宋体" w:cs="宋体"/>
                <w:b/>
                <w:bCs/>
                <w:kern w:val="0"/>
                <w:sz w:val="18"/>
                <w:szCs w:val="18"/>
              </w:rPr>
            </w:pPr>
            <w:r>
              <w:rPr>
                <w:rFonts w:hint="eastAsia" w:ascii="宋体" w:hAnsi="宋体" w:cs="宋体"/>
                <w:b/>
                <w:bCs/>
                <w:kern w:val="0"/>
                <w:sz w:val="18"/>
                <w:szCs w:val="18"/>
              </w:rPr>
              <w:t>2.5 线缆辅材</w:t>
            </w:r>
          </w:p>
        </w:tc>
      </w:tr>
      <w:tr>
        <w:tblPrEx>
          <w:tblLayout w:type="fixed"/>
          <w:tblCellMar>
            <w:top w:w="0" w:type="dxa"/>
            <w:left w:w="108" w:type="dxa"/>
            <w:bottom w:w="0" w:type="dxa"/>
            <w:right w:w="108" w:type="dxa"/>
          </w:tblCellMar>
        </w:tblPrEx>
        <w:trPr>
          <w:trHeight w:val="374" w:hRule="atLeast"/>
          <w:jc w:val="center"/>
        </w:trPr>
        <w:tc>
          <w:tcPr>
            <w:tcW w:w="4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9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闸口设备线缆</w:t>
            </w:r>
          </w:p>
        </w:tc>
        <w:tc>
          <w:tcPr>
            <w:tcW w:w="645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根据现场情况定制</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r>
      <w:tr>
        <w:tblPrEx>
          <w:tblLayout w:type="fixed"/>
          <w:tblCellMar>
            <w:top w:w="0" w:type="dxa"/>
            <w:left w:w="108" w:type="dxa"/>
            <w:bottom w:w="0" w:type="dxa"/>
            <w:right w:w="108" w:type="dxa"/>
          </w:tblCellMar>
        </w:tblPrEx>
        <w:trPr>
          <w:trHeight w:val="42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闸口设备辅材</w:t>
            </w:r>
          </w:p>
        </w:tc>
        <w:tc>
          <w:tcPr>
            <w:tcW w:w="64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根据现场情况定制</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r>
      <w:tr>
        <w:tblPrEx>
          <w:tblLayout w:type="fixed"/>
          <w:tblCellMar>
            <w:top w:w="0" w:type="dxa"/>
            <w:left w:w="108" w:type="dxa"/>
            <w:bottom w:w="0" w:type="dxa"/>
            <w:right w:w="108" w:type="dxa"/>
          </w:tblCellMar>
        </w:tblPrEx>
        <w:trPr>
          <w:trHeight w:val="295" w:hRule="atLeast"/>
          <w:jc w:val="center"/>
        </w:trPr>
        <w:tc>
          <w:tcPr>
            <w:tcW w:w="10201" w:type="dxa"/>
            <w:gridSpan w:val="5"/>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宋体" w:hAnsi="宋体" w:cs="宋体"/>
                <w:b/>
                <w:bCs/>
                <w:kern w:val="0"/>
                <w:sz w:val="18"/>
                <w:szCs w:val="18"/>
              </w:rPr>
            </w:pPr>
            <w:r>
              <w:rPr>
                <w:rFonts w:hint="eastAsia" w:ascii="宋体" w:hAnsi="宋体" w:cs="宋体"/>
                <w:b/>
                <w:bCs/>
                <w:kern w:val="0"/>
                <w:sz w:val="18"/>
                <w:szCs w:val="18"/>
              </w:rPr>
              <w:t>三、机房后端设备（配置于两个卡口机房）</w:t>
            </w:r>
          </w:p>
        </w:tc>
      </w:tr>
      <w:tr>
        <w:tblPrEx>
          <w:tblLayout w:type="fixed"/>
          <w:tblCellMar>
            <w:top w:w="0" w:type="dxa"/>
            <w:left w:w="108" w:type="dxa"/>
            <w:bottom w:w="0" w:type="dxa"/>
            <w:right w:w="108" w:type="dxa"/>
          </w:tblCellMar>
        </w:tblPrEx>
        <w:trPr>
          <w:trHeight w:val="412"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网络机柜</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前、后单开网门，带脚轮和4只M12支脚，1只内六角扳手，螺钉螺母40套，层板3件，2只风扇，一个8位竖装PDU排插。</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r>
      <w:tr>
        <w:tblPrEx>
          <w:tblLayout w:type="fixed"/>
          <w:tblCellMar>
            <w:top w:w="0" w:type="dxa"/>
            <w:left w:w="108" w:type="dxa"/>
            <w:bottom w:w="0" w:type="dxa"/>
            <w:right w:w="108" w:type="dxa"/>
          </w:tblCellMar>
        </w:tblPrEx>
        <w:trPr>
          <w:trHeight w:val="490"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切换器</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1）产品类型 PS/2-USB KVM多电脑切换器；</w:t>
            </w:r>
            <w:r>
              <w:rPr>
                <w:rFonts w:hint="eastAsia" w:ascii="宋体" w:hAnsi="宋体" w:cs="宋体"/>
                <w:kern w:val="0"/>
                <w:sz w:val="18"/>
                <w:szCs w:val="18"/>
              </w:rPr>
              <w:br w:type="textWrapping"/>
            </w:r>
            <w:r>
              <w:rPr>
                <w:rFonts w:hint="eastAsia" w:ascii="宋体" w:hAnsi="宋体" w:cs="宋体"/>
                <w:kern w:val="0"/>
                <w:sz w:val="18"/>
                <w:szCs w:val="18"/>
              </w:rPr>
              <w:t>2）接口数 8，工作温度 0℃-50℃。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r>
      <w:tr>
        <w:tblPrEx>
          <w:tblLayout w:type="fixed"/>
          <w:tblCellMar>
            <w:top w:w="0" w:type="dxa"/>
            <w:left w:w="108" w:type="dxa"/>
            <w:bottom w:w="0" w:type="dxa"/>
            <w:right w:w="108" w:type="dxa"/>
          </w:tblCellMar>
        </w:tblPrEx>
        <w:trPr>
          <w:trHeight w:val="285"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显示器</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不小于19英寸。</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r>
      <w:tr>
        <w:tblPrEx>
          <w:tblLayout w:type="fixed"/>
          <w:tblCellMar>
            <w:top w:w="0" w:type="dxa"/>
            <w:left w:w="108" w:type="dxa"/>
            <w:bottom w:w="0" w:type="dxa"/>
            <w:right w:w="108" w:type="dxa"/>
          </w:tblCellMar>
        </w:tblPrEx>
        <w:trPr>
          <w:trHeight w:val="984"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服务器（惠普原装）</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1）1颗Intel Xeon-Silver 4110 (2.1GHz/8-core/85W) 处理器；</w:t>
            </w:r>
            <w:r>
              <w:rPr>
                <w:rFonts w:hint="eastAsia" w:ascii="宋体" w:hAnsi="宋体" w:cs="宋体"/>
                <w:kern w:val="0"/>
                <w:sz w:val="18"/>
                <w:szCs w:val="18"/>
              </w:rPr>
              <w:br w:type="textWrapping"/>
            </w:r>
            <w:r>
              <w:rPr>
                <w:rFonts w:hint="eastAsia" w:ascii="宋体" w:hAnsi="宋体" w:cs="宋体"/>
                <w:kern w:val="0"/>
                <w:sz w:val="18"/>
                <w:szCs w:val="18"/>
              </w:rPr>
              <w:t>2）32 GB RDIMM DR 2600 MT/s (2x 16 GB)内存，支持24个DIMM内存槽位，支持最大1.5TB全缓冲DIMMs内存；</w:t>
            </w:r>
            <w:r>
              <w:rPr>
                <w:rFonts w:hint="eastAsia" w:ascii="宋体" w:hAnsi="宋体" w:cs="宋体"/>
                <w:kern w:val="0"/>
                <w:sz w:val="18"/>
                <w:szCs w:val="18"/>
              </w:rPr>
              <w:br w:type="textWrapping"/>
            </w:r>
            <w:r>
              <w:rPr>
                <w:rFonts w:hint="eastAsia" w:ascii="宋体" w:hAnsi="宋体" w:cs="宋体"/>
                <w:kern w:val="0"/>
                <w:sz w:val="18"/>
                <w:szCs w:val="18"/>
              </w:rPr>
              <w:t>3） 600G 10K 2.5 SAS*2；</w:t>
            </w:r>
            <w:r>
              <w:rPr>
                <w:rFonts w:hint="eastAsia" w:ascii="宋体" w:hAnsi="宋体" w:cs="宋体"/>
                <w:kern w:val="0"/>
                <w:sz w:val="18"/>
                <w:szCs w:val="18"/>
              </w:rPr>
              <w:br w:type="textWrapping"/>
            </w:r>
            <w:r>
              <w:rPr>
                <w:rFonts w:hint="eastAsia" w:ascii="宋体" w:hAnsi="宋体" w:cs="宋体"/>
                <w:kern w:val="0"/>
                <w:sz w:val="18"/>
                <w:szCs w:val="18"/>
              </w:rPr>
              <w:t>4）RAID控制器。</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r>
      <w:tr>
        <w:tblPrEx>
          <w:tblLayout w:type="fixed"/>
          <w:tblCellMar>
            <w:top w:w="0" w:type="dxa"/>
            <w:left w:w="108" w:type="dxa"/>
            <w:bottom w:w="0" w:type="dxa"/>
            <w:right w:w="108" w:type="dxa"/>
          </w:tblCellMar>
        </w:tblPrEx>
        <w:trPr>
          <w:trHeight w:val="19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光纤及辅材</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定制。</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r>
      <w:tr>
        <w:tblPrEx>
          <w:tblLayout w:type="fixed"/>
          <w:tblCellMar>
            <w:top w:w="0" w:type="dxa"/>
            <w:left w:w="108" w:type="dxa"/>
            <w:bottom w:w="0" w:type="dxa"/>
            <w:right w:w="108" w:type="dxa"/>
          </w:tblCellMar>
        </w:tblPrEx>
        <w:trPr>
          <w:trHeight w:val="367"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光纤敷设施工费</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地面开槽，光纤敷设等。</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r>
      <w:tr>
        <w:tblPrEx>
          <w:tblLayout w:type="fixed"/>
          <w:tblCellMar>
            <w:top w:w="0" w:type="dxa"/>
            <w:left w:w="108" w:type="dxa"/>
            <w:bottom w:w="0" w:type="dxa"/>
            <w:right w:w="108" w:type="dxa"/>
          </w:tblCellMar>
        </w:tblPrEx>
        <w:trPr>
          <w:trHeight w:val="273"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闸口汇聚交换机</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1）24个10/100/1000Mbps自适应以太网端口；</w:t>
            </w:r>
            <w:r>
              <w:rPr>
                <w:rFonts w:hint="eastAsia" w:ascii="宋体" w:hAnsi="宋体" w:cs="宋体"/>
                <w:kern w:val="0"/>
                <w:sz w:val="18"/>
                <w:szCs w:val="18"/>
              </w:rPr>
              <w:br w:type="textWrapping"/>
            </w:r>
            <w:r>
              <w:rPr>
                <w:rFonts w:hint="eastAsia" w:ascii="宋体" w:hAnsi="宋体" w:cs="宋体"/>
                <w:kern w:val="0"/>
                <w:sz w:val="18"/>
                <w:szCs w:val="18"/>
              </w:rPr>
              <w:t>2）2个千兆SFP端口。</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台</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r>
      <w:tr>
        <w:tblPrEx>
          <w:tblLayout w:type="fixed"/>
          <w:tblCellMar>
            <w:top w:w="0" w:type="dxa"/>
            <w:left w:w="108" w:type="dxa"/>
            <w:bottom w:w="0" w:type="dxa"/>
            <w:right w:w="108" w:type="dxa"/>
          </w:tblCellMar>
        </w:tblPrEx>
        <w:trPr>
          <w:trHeight w:val="351"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UPS主机</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高频三进单出 20KVA 。</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r>
      <w:tr>
        <w:tblPrEx>
          <w:tblLayout w:type="fixed"/>
          <w:tblCellMar>
            <w:top w:w="0" w:type="dxa"/>
            <w:left w:w="108" w:type="dxa"/>
            <w:bottom w:w="0" w:type="dxa"/>
            <w:right w:w="108" w:type="dxa"/>
          </w:tblCellMar>
        </w:tblPrEx>
        <w:trPr>
          <w:trHeight w:val="270"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UPS电源</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蓄电池 32节  后备1小时。</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r>
      <w:tr>
        <w:tblPrEx>
          <w:tblLayout w:type="fixed"/>
          <w:tblCellMar>
            <w:top w:w="0" w:type="dxa"/>
            <w:left w:w="108" w:type="dxa"/>
            <w:bottom w:w="0" w:type="dxa"/>
            <w:right w:w="108" w:type="dxa"/>
          </w:tblCellMar>
        </w:tblPrEx>
        <w:trPr>
          <w:trHeight w:val="417" w:hRule="atLeast"/>
          <w:jc w:val="center"/>
        </w:trPr>
        <w:tc>
          <w:tcPr>
            <w:tcW w:w="43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97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电池组柜及支架（含配线配件）</w:t>
            </w:r>
          </w:p>
        </w:tc>
        <w:tc>
          <w:tcPr>
            <w:tcW w:w="6456"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定制，4×40mm角钢。</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套</w:t>
            </w:r>
          </w:p>
        </w:tc>
        <w:tc>
          <w:tcPr>
            <w:tcW w:w="63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r>
    </w:tbl>
    <w:p>
      <w:pPr>
        <w:rPr>
          <w:rFonts w:ascii="宋体" w:hAnsi="宋体" w:cs="宋体"/>
          <w:b/>
          <w:sz w:val="18"/>
          <w:szCs w:val="18"/>
        </w:rPr>
      </w:pPr>
      <w:r>
        <w:rPr>
          <w:rFonts w:hint="eastAsia" w:ascii="宋体" w:hAnsi="宋体" w:cs="宋体"/>
          <w:b/>
          <w:sz w:val="18"/>
          <w:szCs w:val="18"/>
        </w:rPr>
        <w:t>四、商务要求</w:t>
      </w:r>
    </w:p>
    <w:p>
      <w:pPr>
        <w:spacing w:line="240" w:lineRule="exact"/>
        <w:ind w:firstLine="360" w:firstLineChars="200"/>
        <w:rPr>
          <w:rFonts w:ascii="宋体" w:hAnsi="宋体" w:cs="宋体"/>
          <w:sz w:val="18"/>
          <w:szCs w:val="18"/>
        </w:rPr>
      </w:pPr>
      <w:r>
        <w:rPr>
          <w:rFonts w:hint="eastAsia" w:ascii="宋体" w:hAnsi="宋体" w:cs="宋体"/>
          <w:sz w:val="18"/>
          <w:szCs w:val="18"/>
        </w:rPr>
        <w:t>1</w:t>
      </w:r>
      <w:r>
        <w:rPr>
          <w:rFonts w:ascii="宋体" w:hAnsi="宋体" w:cs="宋体"/>
          <w:sz w:val="18"/>
          <w:szCs w:val="18"/>
        </w:rPr>
        <w:t>.质量标准</w:t>
      </w:r>
      <w:r>
        <w:rPr>
          <w:rFonts w:hint="eastAsia" w:ascii="宋体" w:hAnsi="宋体" w:cs="宋体"/>
          <w:sz w:val="18"/>
          <w:szCs w:val="18"/>
        </w:rPr>
        <w:t>：达到国家现行施工验收规范的合格标准。</w:t>
      </w:r>
    </w:p>
    <w:p>
      <w:pPr>
        <w:spacing w:line="240" w:lineRule="exact"/>
        <w:ind w:firstLine="360" w:firstLineChars="200"/>
        <w:rPr>
          <w:rFonts w:ascii="宋体" w:hAnsi="宋体" w:cs="宋体"/>
          <w:sz w:val="18"/>
          <w:szCs w:val="18"/>
        </w:rPr>
      </w:pPr>
      <w:r>
        <w:rPr>
          <w:rFonts w:hint="eastAsia" w:ascii="宋体" w:hAnsi="宋体" w:cs="宋体"/>
          <w:sz w:val="18"/>
          <w:szCs w:val="18"/>
        </w:rPr>
        <w:t>2</w:t>
      </w:r>
      <w:r>
        <w:rPr>
          <w:rFonts w:ascii="宋体" w:hAnsi="宋体" w:cs="宋体"/>
          <w:sz w:val="18"/>
          <w:szCs w:val="18"/>
        </w:rPr>
        <w:t>.验收标准</w:t>
      </w:r>
      <w:r>
        <w:rPr>
          <w:rFonts w:hint="eastAsia" w:ascii="宋体" w:hAnsi="宋体" w:cs="宋体"/>
          <w:sz w:val="18"/>
          <w:szCs w:val="18"/>
        </w:rPr>
        <w:t>：达到相关验收规范的合格标准。</w:t>
      </w:r>
    </w:p>
    <w:p>
      <w:pPr>
        <w:spacing w:line="240" w:lineRule="exact"/>
        <w:ind w:firstLine="360" w:firstLineChars="200"/>
        <w:rPr>
          <w:rFonts w:ascii="宋体" w:hAnsi="宋体" w:cs="宋体"/>
          <w:sz w:val="18"/>
          <w:szCs w:val="18"/>
        </w:rPr>
      </w:pPr>
      <w:r>
        <w:rPr>
          <w:rFonts w:hint="eastAsia" w:ascii="宋体" w:hAnsi="宋体" w:cs="宋体"/>
          <w:sz w:val="18"/>
          <w:szCs w:val="18"/>
        </w:rPr>
        <w:t>3</w:t>
      </w:r>
      <w:r>
        <w:rPr>
          <w:rFonts w:ascii="宋体" w:hAnsi="宋体" w:cs="宋体"/>
          <w:sz w:val="18"/>
          <w:szCs w:val="18"/>
        </w:rPr>
        <w:t>.</w:t>
      </w:r>
      <w:r>
        <w:rPr>
          <w:rFonts w:hint="eastAsia" w:ascii="宋体" w:hAnsi="宋体" w:cs="宋体"/>
          <w:sz w:val="18"/>
          <w:szCs w:val="18"/>
        </w:rPr>
        <w:t>工期</w:t>
      </w:r>
      <w:r>
        <w:rPr>
          <w:rFonts w:ascii="宋体" w:hAnsi="宋体" w:cs="宋体"/>
          <w:sz w:val="18"/>
          <w:szCs w:val="18"/>
        </w:rPr>
        <w:t>：</w:t>
      </w:r>
      <w:r>
        <w:rPr>
          <w:rFonts w:hint="eastAsia" w:ascii="宋体" w:hAnsi="宋体" w:cs="宋体"/>
          <w:sz w:val="18"/>
          <w:szCs w:val="18"/>
        </w:rPr>
        <w:t>45日历天。</w:t>
      </w:r>
    </w:p>
    <w:p>
      <w:pPr>
        <w:spacing w:line="240" w:lineRule="exact"/>
        <w:ind w:firstLine="360" w:firstLineChars="200"/>
        <w:rPr>
          <w:rFonts w:ascii="宋体" w:hAnsi="宋体" w:cs="宋体"/>
          <w:sz w:val="18"/>
          <w:szCs w:val="18"/>
        </w:rPr>
      </w:pPr>
      <w:r>
        <w:rPr>
          <w:rFonts w:hint="eastAsia" w:ascii="宋体" w:hAnsi="宋体" w:cs="宋体"/>
          <w:sz w:val="18"/>
          <w:szCs w:val="18"/>
        </w:rPr>
        <w:t>4</w:t>
      </w:r>
      <w:r>
        <w:rPr>
          <w:rFonts w:ascii="宋体" w:hAnsi="宋体" w:cs="宋体"/>
          <w:sz w:val="18"/>
          <w:szCs w:val="18"/>
        </w:rPr>
        <w:t>.</w:t>
      </w:r>
      <w:r>
        <w:rPr>
          <w:rFonts w:hint="eastAsia" w:ascii="宋体" w:hAnsi="宋体" w:cs="宋体"/>
          <w:sz w:val="18"/>
          <w:szCs w:val="18"/>
        </w:rPr>
        <w:t>工程</w:t>
      </w:r>
      <w:r>
        <w:rPr>
          <w:rFonts w:ascii="宋体" w:hAnsi="宋体" w:cs="宋体"/>
          <w:sz w:val="18"/>
          <w:szCs w:val="18"/>
        </w:rPr>
        <w:t>地点：</w:t>
      </w:r>
      <w:r>
        <w:rPr>
          <w:rFonts w:hint="eastAsia" w:ascii="宋体" w:hAnsi="宋体" w:cs="宋体"/>
          <w:sz w:val="18"/>
          <w:szCs w:val="18"/>
        </w:rPr>
        <w:t>宜昌市白洋港码头</w:t>
      </w:r>
      <w:r>
        <w:rPr>
          <w:rFonts w:ascii="宋体" w:hAnsi="宋体" w:cs="宋体"/>
          <w:sz w:val="18"/>
          <w:szCs w:val="18"/>
        </w:rPr>
        <w:t>。</w:t>
      </w:r>
    </w:p>
    <w:p>
      <w:pPr>
        <w:spacing w:line="240" w:lineRule="exact"/>
        <w:ind w:firstLine="360" w:firstLineChars="200"/>
        <w:rPr>
          <w:rFonts w:ascii="宋体" w:hAnsi="宋体" w:cs="宋体"/>
          <w:sz w:val="18"/>
          <w:szCs w:val="18"/>
        </w:rPr>
      </w:pPr>
      <w:r>
        <w:rPr>
          <w:rFonts w:hint="eastAsia" w:ascii="宋体" w:hAnsi="宋体" w:cs="宋体"/>
          <w:sz w:val="18"/>
          <w:szCs w:val="18"/>
        </w:rPr>
        <w:t>5</w:t>
      </w:r>
      <w:r>
        <w:rPr>
          <w:rFonts w:ascii="宋体" w:hAnsi="宋体" w:cs="宋体"/>
          <w:sz w:val="18"/>
          <w:szCs w:val="18"/>
        </w:rPr>
        <w:t>.</w:t>
      </w:r>
      <w:r>
        <w:rPr>
          <w:rFonts w:hint="eastAsia" w:ascii="宋体" w:hAnsi="宋体" w:cs="宋体"/>
          <w:sz w:val="18"/>
          <w:szCs w:val="18"/>
        </w:rPr>
        <w:t>付款方式：无预付款，按供货进度分次付款，每次支付经检验合格后供货款的</w:t>
      </w:r>
      <w:r>
        <w:rPr>
          <w:rFonts w:ascii="宋体" w:hAnsi="宋体" w:cs="宋体"/>
          <w:sz w:val="18"/>
          <w:szCs w:val="18"/>
        </w:rPr>
        <w:t>70%，全部供货完毕并检验合格后，付至工程款合格货款的85%，工程竣工验收合格并结算审计后，付至结算总价的100%，（</w:t>
      </w:r>
      <w:r>
        <w:rPr>
          <w:rFonts w:hint="eastAsia" w:ascii="宋体" w:hAnsi="宋体" w:cs="宋体"/>
          <w:sz w:val="18"/>
          <w:szCs w:val="18"/>
        </w:rPr>
        <w:t>本项目</w:t>
      </w:r>
      <w:r>
        <w:rPr>
          <w:rFonts w:ascii="宋体" w:hAnsi="宋体" w:cs="宋体"/>
          <w:sz w:val="18"/>
          <w:szCs w:val="18"/>
        </w:rPr>
        <w:t>需提交结算总价的3%作为质量保证金，最后一笔款项支付前，供货方需先将3%质保金转入三峡大学帐户），质量保修期满二年后，一次性付清。（期间发生的材料产品自身质量问题造成返工等费用由</w:t>
      </w:r>
      <w:r>
        <w:rPr>
          <w:rFonts w:hint="eastAsia" w:ascii="宋体" w:hAnsi="宋体" w:cs="宋体"/>
          <w:sz w:val="18"/>
          <w:szCs w:val="18"/>
        </w:rPr>
        <w:t>中标人</w:t>
      </w:r>
      <w:r>
        <w:rPr>
          <w:rFonts w:ascii="宋体" w:hAnsi="宋体" w:cs="宋体"/>
          <w:sz w:val="18"/>
          <w:szCs w:val="18"/>
        </w:rPr>
        <w:t>承担）。</w:t>
      </w:r>
    </w:p>
    <w:p>
      <w:pPr>
        <w:spacing w:line="240" w:lineRule="exact"/>
        <w:ind w:firstLine="360" w:firstLineChars="200"/>
        <w:rPr>
          <w:rFonts w:ascii="宋体" w:hAnsi="宋体" w:cs="宋体"/>
          <w:sz w:val="18"/>
          <w:szCs w:val="18"/>
        </w:rPr>
      </w:pPr>
      <w:r>
        <w:rPr>
          <w:rFonts w:hint="eastAsia" w:ascii="宋体" w:hAnsi="宋体" w:cs="宋体"/>
          <w:sz w:val="18"/>
          <w:szCs w:val="18"/>
        </w:rPr>
        <w:t>6</w:t>
      </w:r>
      <w:r>
        <w:rPr>
          <w:rFonts w:ascii="宋体" w:hAnsi="宋体" w:cs="宋体"/>
          <w:sz w:val="18"/>
          <w:szCs w:val="18"/>
        </w:rPr>
        <w:t>.售后服务要求：</w:t>
      </w:r>
    </w:p>
    <w:p>
      <w:pPr>
        <w:spacing w:line="240" w:lineRule="exact"/>
        <w:ind w:firstLine="360" w:firstLineChars="200"/>
        <w:rPr>
          <w:rFonts w:ascii="宋体" w:hAnsi="宋体" w:cs="宋体"/>
          <w:sz w:val="18"/>
          <w:szCs w:val="18"/>
        </w:rPr>
      </w:pPr>
      <w:r>
        <w:rPr>
          <w:rFonts w:hint="eastAsia" w:ascii="宋体" w:hAnsi="宋体" w:cs="宋体"/>
          <w:sz w:val="18"/>
          <w:szCs w:val="18"/>
        </w:rPr>
        <w:t>6</w:t>
      </w:r>
      <w:r>
        <w:rPr>
          <w:rFonts w:ascii="宋体" w:hAnsi="宋体" w:cs="宋体"/>
          <w:sz w:val="18"/>
          <w:szCs w:val="18"/>
        </w:rPr>
        <w:t>.1质量保证期自验收合格之日起不低于</w:t>
      </w:r>
      <w:r>
        <w:rPr>
          <w:rFonts w:hint="eastAsia" w:ascii="宋体" w:hAnsi="宋体" w:cs="宋体"/>
          <w:sz w:val="18"/>
          <w:szCs w:val="18"/>
        </w:rPr>
        <w:t>二</w:t>
      </w:r>
      <w:r>
        <w:rPr>
          <w:rFonts w:ascii="宋体" w:hAnsi="宋体" w:cs="宋体"/>
          <w:sz w:val="18"/>
          <w:szCs w:val="18"/>
        </w:rPr>
        <w:t>年，国家主管部门或者行业标准对货物本身有更高要求的，从其规定并在合同中约定。</w:t>
      </w:r>
    </w:p>
    <w:p>
      <w:pPr>
        <w:spacing w:line="240" w:lineRule="exact"/>
        <w:ind w:firstLine="360" w:firstLineChars="200"/>
        <w:rPr>
          <w:rFonts w:ascii="宋体" w:hAnsi="宋体" w:cs="宋体"/>
          <w:sz w:val="18"/>
          <w:szCs w:val="18"/>
        </w:rPr>
      </w:pPr>
      <w:r>
        <w:rPr>
          <w:rFonts w:hint="eastAsia" w:ascii="宋体" w:hAnsi="宋体" w:cs="宋体"/>
          <w:sz w:val="18"/>
          <w:szCs w:val="18"/>
        </w:rPr>
        <w:t>6</w:t>
      </w:r>
      <w:r>
        <w:rPr>
          <w:rFonts w:ascii="宋体" w:hAnsi="宋体" w:cs="宋体"/>
          <w:sz w:val="18"/>
          <w:szCs w:val="18"/>
        </w:rPr>
        <w:t>.2质量保证期内，如果货物是有缺陷的，包括潜在的缺陷或者使用不符合要求的材料等，</w:t>
      </w:r>
      <w:r>
        <w:rPr>
          <w:rFonts w:hint="eastAsia" w:ascii="宋体" w:hAnsi="宋体" w:cs="宋体"/>
          <w:sz w:val="18"/>
          <w:szCs w:val="18"/>
        </w:rPr>
        <w:t>中标人</w:t>
      </w:r>
      <w:r>
        <w:rPr>
          <w:rFonts w:ascii="宋体" w:hAnsi="宋体" w:cs="宋体"/>
          <w:sz w:val="18"/>
          <w:szCs w:val="18"/>
        </w:rPr>
        <w:t>立即免费维修或者更换有缺陷的货物，保证达到合同规定的技术以及性能要求。如果</w:t>
      </w:r>
      <w:r>
        <w:rPr>
          <w:rFonts w:hint="eastAsia" w:ascii="宋体" w:hAnsi="宋体" w:cs="宋体"/>
          <w:sz w:val="18"/>
          <w:szCs w:val="18"/>
        </w:rPr>
        <w:t>中标人</w:t>
      </w:r>
      <w:r>
        <w:rPr>
          <w:rFonts w:ascii="宋体" w:hAnsi="宋体" w:cs="宋体"/>
          <w:sz w:val="18"/>
          <w:szCs w:val="18"/>
        </w:rPr>
        <w:t>在收到通知后5日内没有弥补缺陷，采购人可自行采取必要的补救措施，但风险和费用由</w:t>
      </w:r>
      <w:r>
        <w:rPr>
          <w:rFonts w:hint="eastAsia" w:ascii="宋体" w:hAnsi="宋体" w:cs="宋体"/>
          <w:sz w:val="18"/>
          <w:szCs w:val="18"/>
        </w:rPr>
        <w:t>中标人</w:t>
      </w:r>
      <w:r>
        <w:rPr>
          <w:rFonts w:ascii="宋体" w:hAnsi="宋体" w:cs="宋体"/>
          <w:sz w:val="18"/>
          <w:szCs w:val="18"/>
        </w:rPr>
        <w:t>承担，采购人同时保留通过法律途径进行索赔的权利。</w:t>
      </w:r>
    </w:p>
    <w:p>
      <w:pPr>
        <w:rPr>
          <w:rFonts w:ascii="宋体" w:hAnsi="宋体" w:cs="宋体"/>
          <w:sz w:val="18"/>
          <w:szCs w:val="18"/>
        </w:rPr>
        <w:sectPr>
          <w:headerReference r:id="rId5" w:type="first"/>
          <w:footerReference r:id="rId7" w:type="first"/>
          <w:headerReference r:id="rId4" w:type="default"/>
          <w:footerReference r:id="rId6" w:type="default"/>
          <w:pgSz w:w="11906" w:h="16838"/>
          <w:pgMar w:top="1440" w:right="1800" w:bottom="1440" w:left="1800" w:header="851" w:footer="992" w:gutter="0"/>
          <w:pgNumType w:start="1"/>
          <w:cols w:space="720" w:num="1"/>
          <w:docGrid w:type="lines" w:linePitch="312" w:charSpace="0"/>
        </w:sectPr>
      </w:pPr>
    </w:p>
    <w:bookmarkEnd w:id="81"/>
    <w:p>
      <w:pPr>
        <w:pStyle w:val="2"/>
        <w:pageBreakBefore/>
        <w:rPr>
          <w:color w:val="000000"/>
        </w:rPr>
      </w:pPr>
      <w:bookmarkStart w:id="111" w:name="_Toc9856"/>
      <w:bookmarkStart w:id="112" w:name="_Toc522293537"/>
      <w:bookmarkStart w:id="113" w:name="_Toc18672587"/>
      <w:r>
        <w:rPr>
          <w:rFonts w:hint="eastAsia"/>
          <w:color w:val="000000"/>
        </w:rPr>
        <w:t xml:space="preserve">第六章  </w:t>
      </w:r>
      <w:bookmarkEnd w:id="111"/>
      <w:bookmarkEnd w:id="112"/>
      <w:r>
        <w:rPr>
          <w:rFonts w:hint="eastAsia"/>
          <w:color w:val="000000"/>
        </w:rPr>
        <w:t>投标文件格式</w:t>
      </w:r>
      <w:bookmarkEnd w:id="113"/>
    </w:p>
    <w:p>
      <w:pPr>
        <w:rPr>
          <w:color w:val="000000"/>
        </w:rPr>
      </w:pPr>
    </w:p>
    <w:p>
      <w:pPr>
        <w:rPr>
          <w:color w:val="000000"/>
        </w:rPr>
      </w:pPr>
    </w:p>
    <w:p>
      <w:pPr>
        <w:rPr>
          <w:color w:val="000000"/>
        </w:rPr>
      </w:pPr>
    </w:p>
    <w:p>
      <w:pPr>
        <w:pStyle w:val="31"/>
        <w:jc w:val="center"/>
        <w:rPr>
          <w:rFonts w:ascii="宋体" w:hAnsi="宋体"/>
          <w:b/>
          <w:bCs/>
          <w:spacing w:val="-20"/>
          <w:sz w:val="44"/>
          <w:szCs w:val="44"/>
        </w:rPr>
      </w:pPr>
      <w:r>
        <w:rPr>
          <w:rFonts w:hint="eastAsia" w:ascii="宋体" w:hAnsi="宋体"/>
          <w:b/>
          <w:bCs/>
          <w:spacing w:val="-20"/>
          <w:sz w:val="44"/>
          <w:szCs w:val="44"/>
        </w:rPr>
        <w:t>宜昌白洋港区东西大门智能闸口改造项目</w:t>
      </w:r>
    </w:p>
    <w:p>
      <w:pPr>
        <w:pStyle w:val="31"/>
        <w:jc w:val="center"/>
        <w:rPr>
          <w:rFonts w:ascii="宋体" w:hAnsi="宋体"/>
          <w:b/>
          <w:bCs/>
          <w:spacing w:val="-20"/>
          <w:sz w:val="70"/>
          <w:szCs w:val="52"/>
        </w:rPr>
      </w:pPr>
    </w:p>
    <w:p>
      <w:pPr>
        <w:pStyle w:val="31"/>
        <w:jc w:val="center"/>
        <w:rPr>
          <w:rFonts w:ascii="宋体" w:hAnsi="宋体"/>
          <w:b/>
          <w:bCs/>
          <w:spacing w:val="-20"/>
          <w:sz w:val="120"/>
          <w:szCs w:val="52"/>
        </w:rPr>
      </w:pPr>
      <w:r>
        <w:rPr>
          <w:rFonts w:hint="eastAsia" w:ascii="宋体" w:hAnsi="宋体"/>
          <w:b/>
          <w:bCs/>
          <w:spacing w:val="-20"/>
          <w:sz w:val="120"/>
          <w:szCs w:val="52"/>
        </w:rPr>
        <w:t>投</w:t>
      </w:r>
      <w:r>
        <w:rPr>
          <w:rFonts w:ascii="宋体" w:hAnsi="宋体"/>
          <w:b/>
          <w:bCs/>
          <w:spacing w:val="-20"/>
          <w:sz w:val="120"/>
          <w:szCs w:val="52"/>
        </w:rPr>
        <w:t xml:space="preserve"> </w:t>
      </w:r>
      <w:r>
        <w:rPr>
          <w:rFonts w:hint="eastAsia" w:ascii="宋体" w:hAnsi="宋体"/>
          <w:b/>
          <w:bCs/>
          <w:spacing w:val="-20"/>
          <w:sz w:val="120"/>
          <w:szCs w:val="52"/>
        </w:rPr>
        <w:t>标</w:t>
      </w:r>
      <w:r>
        <w:rPr>
          <w:rFonts w:ascii="宋体" w:hAnsi="宋体"/>
          <w:b/>
          <w:bCs/>
          <w:spacing w:val="-20"/>
          <w:sz w:val="120"/>
          <w:szCs w:val="52"/>
        </w:rPr>
        <w:t xml:space="preserve"> </w:t>
      </w:r>
      <w:r>
        <w:rPr>
          <w:rFonts w:hint="eastAsia" w:ascii="宋体" w:hAnsi="宋体"/>
          <w:b/>
          <w:bCs/>
          <w:spacing w:val="-20"/>
          <w:sz w:val="120"/>
          <w:szCs w:val="52"/>
        </w:rPr>
        <w:t>文</w:t>
      </w:r>
      <w:r>
        <w:rPr>
          <w:rFonts w:ascii="宋体" w:hAnsi="宋体"/>
          <w:b/>
          <w:bCs/>
          <w:spacing w:val="-20"/>
          <w:sz w:val="120"/>
          <w:szCs w:val="52"/>
        </w:rPr>
        <w:t xml:space="preserve"> </w:t>
      </w:r>
      <w:r>
        <w:rPr>
          <w:rFonts w:hint="eastAsia" w:ascii="宋体" w:hAnsi="宋体"/>
          <w:b/>
          <w:bCs/>
          <w:spacing w:val="-20"/>
          <w:sz w:val="120"/>
          <w:szCs w:val="52"/>
        </w:rPr>
        <w:t>件</w:t>
      </w:r>
    </w:p>
    <w:p>
      <w:pPr>
        <w:pStyle w:val="31"/>
        <w:spacing w:line="500" w:lineRule="exact"/>
        <w:jc w:val="center"/>
        <w:rPr>
          <w:rFonts w:ascii="宋体" w:hAnsi="宋体"/>
          <w:bCs/>
          <w:sz w:val="44"/>
          <w:szCs w:val="44"/>
        </w:rPr>
      </w:pPr>
    </w:p>
    <w:p>
      <w:pPr>
        <w:pStyle w:val="31"/>
        <w:spacing w:line="500" w:lineRule="exact"/>
        <w:jc w:val="center"/>
        <w:rPr>
          <w:rFonts w:ascii="宋体" w:hAnsi="宋体"/>
          <w:b/>
          <w:bCs/>
          <w:sz w:val="28"/>
          <w:szCs w:val="28"/>
        </w:rPr>
      </w:pPr>
    </w:p>
    <w:p>
      <w:pPr>
        <w:pStyle w:val="31"/>
        <w:spacing w:line="500" w:lineRule="exact"/>
        <w:jc w:val="center"/>
        <w:rPr>
          <w:rFonts w:ascii="宋体" w:hAnsi="宋体"/>
          <w:b/>
          <w:bCs/>
          <w:sz w:val="28"/>
          <w:szCs w:val="28"/>
        </w:rPr>
      </w:pPr>
    </w:p>
    <w:p>
      <w:pPr>
        <w:pStyle w:val="31"/>
        <w:spacing w:line="500" w:lineRule="exact"/>
        <w:jc w:val="center"/>
        <w:rPr>
          <w:rFonts w:ascii="宋体" w:hAnsi="宋体"/>
          <w:b/>
          <w:bCs/>
          <w:sz w:val="28"/>
          <w:szCs w:val="28"/>
        </w:rPr>
      </w:pPr>
    </w:p>
    <w:p>
      <w:pPr>
        <w:pStyle w:val="31"/>
        <w:spacing w:line="500" w:lineRule="exact"/>
        <w:jc w:val="center"/>
        <w:rPr>
          <w:rFonts w:ascii="宋体" w:hAnsi="宋体"/>
          <w:b/>
          <w:bCs/>
          <w:sz w:val="28"/>
          <w:szCs w:val="28"/>
        </w:rPr>
      </w:pPr>
    </w:p>
    <w:p>
      <w:pPr>
        <w:pStyle w:val="31"/>
        <w:spacing w:line="500" w:lineRule="exact"/>
        <w:jc w:val="center"/>
        <w:rPr>
          <w:rFonts w:ascii="宋体" w:hAnsi="宋体"/>
          <w:b/>
          <w:bCs/>
          <w:sz w:val="28"/>
          <w:szCs w:val="28"/>
        </w:rPr>
      </w:pPr>
    </w:p>
    <w:p>
      <w:pPr>
        <w:pStyle w:val="31"/>
        <w:spacing w:line="500" w:lineRule="exact"/>
        <w:rPr>
          <w:rFonts w:ascii="宋体" w:hAnsi="宋体"/>
          <w:b/>
          <w:bCs/>
          <w:sz w:val="28"/>
          <w:szCs w:val="28"/>
        </w:rPr>
      </w:pPr>
    </w:p>
    <w:p>
      <w:pPr>
        <w:pStyle w:val="31"/>
        <w:jc w:val="center"/>
        <w:rPr>
          <w:rFonts w:ascii="宋体" w:hAnsi="宋体"/>
          <w:b/>
          <w:bCs/>
          <w:sz w:val="44"/>
          <w:szCs w:val="44"/>
          <w:u w:val="single"/>
        </w:rPr>
      </w:pPr>
    </w:p>
    <w:p>
      <w:pPr>
        <w:pStyle w:val="31"/>
        <w:jc w:val="center"/>
        <w:rPr>
          <w:rFonts w:ascii="宋体" w:hAnsi="宋体"/>
          <w:b/>
          <w:bCs/>
          <w:sz w:val="44"/>
          <w:szCs w:val="44"/>
          <w:u w:val="single"/>
        </w:rPr>
      </w:pPr>
      <w:bookmarkStart w:id="152" w:name="_GoBack"/>
      <w:bookmarkEnd w:id="152"/>
    </w:p>
    <w:p>
      <w:pPr>
        <w:pStyle w:val="32"/>
        <w:spacing w:line="500" w:lineRule="exact"/>
        <w:ind w:firstLine="442" w:firstLineChars="100"/>
        <w:jc w:val="left"/>
        <w:rPr>
          <w:rFonts w:hAnsi="宋体"/>
          <w:sz w:val="44"/>
          <w:szCs w:val="44"/>
        </w:rPr>
      </w:pPr>
      <w:r>
        <w:rPr>
          <w:rFonts w:hint="eastAsia" w:hAnsi="宋体"/>
          <w:b/>
          <w:bCs/>
          <w:sz w:val="44"/>
          <w:szCs w:val="44"/>
        </w:rPr>
        <w:t>项目编号：</w:t>
      </w:r>
      <w:r>
        <w:rPr>
          <w:rFonts w:hAnsi="宋体"/>
          <w:b/>
          <w:bCs/>
          <w:sz w:val="44"/>
          <w:szCs w:val="44"/>
          <w:u w:val="single"/>
        </w:rPr>
        <w:t xml:space="preserve">                             </w:t>
      </w:r>
    </w:p>
    <w:p>
      <w:pPr>
        <w:pStyle w:val="32"/>
        <w:spacing w:line="500" w:lineRule="exact"/>
        <w:ind w:firstLine="442" w:firstLineChars="100"/>
        <w:jc w:val="left"/>
        <w:rPr>
          <w:rFonts w:hAnsi="宋体"/>
          <w:b/>
          <w:sz w:val="44"/>
          <w:szCs w:val="44"/>
          <w:u w:val="single"/>
        </w:rPr>
      </w:pPr>
      <w:r>
        <w:rPr>
          <w:rFonts w:hint="eastAsia" w:hAnsi="宋体"/>
          <w:b/>
          <w:sz w:val="44"/>
          <w:szCs w:val="44"/>
        </w:rPr>
        <w:t>投标人名称：</w:t>
      </w:r>
      <w:r>
        <w:rPr>
          <w:rFonts w:hAnsi="宋体"/>
          <w:b/>
          <w:sz w:val="44"/>
          <w:szCs w:val="44"/>
          <w:u w:val="single"/>
        </w:rPr>
        <w:t xml:space="preserve">                  </w:t>
      </w:r>
      <w:r>
        <w:rPr>
          <w:rFonts w:hint="eastAsia" w:hAnsi="宋体"/>
          <w:b/>
          <w:sz w:val="44"/>
          <w:szCs w:val="44"/>
        </w:rPr>
        <w:t>（签章）</w:t>
      </w:r>
    </w:p>
    <w:p>
      <w:pPr>
        <w:pStyle w:val="32"/>
        <w:spacing w:line="500" w:lineRule="exact"/>
        <w:ind w:firstLine="442" w:firstLineChars="100"/>
        <w:jc w:val="left"/>
        <w:rPr>
          <w:rFonts w:hAnsi="宋体"/>
          <w:b/>
          <w:sz w:val="44"/>
          <w:szCs w:val="44"/>
          <w:u w:val="single"/>
        </w:rPr>
      </w:pPr>
      <w:r>
        <w:rPr>
          <w:rFonts w:hint="eastAsia" w:hAnsi="宋体"/>
          <w:b/>
          <w:sz w:val="44"/>
          <w:szCs w:val="44"/>
        </w:rPr>
        <w:t>日</w:t>
      </w:r>
      <w:r>
        <w:rPr>
          <w:rFonts w:hAnsi="宋体"/>
          <w:b/>
          <w:sz w:val="44"/>
          <w:szCs w:val="44"/>
        </w:rPr>
        <w:t xml:space="preserve">    </w:t>
      </w:r>
      <w:r>
        <w:rPr>
          <w:rFonts w:hint="eastAsia" w:hAnsi="宋体"/>
          <w:b/>
          <w:sz w:val="44"/>
          <w:szCs w:val="44"/>
        </w:rPr>
        <w:t>期：</w:t>
      </w:r>
      <w:r>
        <w:rPr>
          <w:rFonts w:hAnsi="宋体"/>
          <w:b/>
          <w:sz w:val="44"/>
          <w:szCs w:val="44"/>
          <w:u w:val="single"/>
        </w:rPr>
        <w:t xml:space="preserve">      </w:t>
      </w:r>
      <w:r>
        <w:rPr>
          <w:rFonts w:hint="eastAsia" w:hAnsi="宋体"/>
          <w:b/>
          <w:sz w:val="44"/>
          <w:szCs w:val="44"/>
        </w:rPr>
        <w:t>年</w:t>
      </w:r>
      <w:r>
        <w:rPr>
          <w:rFonts w:hAnsi="宋体"/>
          <w:b/>
          <w:sz w:val="44"/>
          <w:szCs w:val="44"/>
          <w:u w:val="single"/>
        </w:rPr>
        <w:t xml:space="preserve">       </w:t>
      </w:r>
      <w:r>
        <w:rPr>
          <w:rFonts w:hint="eastAsia" w:hAnsi="宋体"/>
          <w:b/>
          <w:sz w:val="44"/>
          <w:szCs w:val="44"/>
        </w:rPr>
        <w:t>月</w:t>
      </w:r>
      <w:r>
        <w:rPr>
          <w:rFonts w:hAnsi="宋体"/>
          <w:b/>
          <w:sz w:val="44"/>
          <w:szCs w:val="44"/>
          <w:u w:val="single"/>
        </w:rPr>
        <w:t xml:space="preserve">      </w:t>
      </w:r>
      <w:r>
        <w:rPr>
          <w:rFonts w:hint="eastAsia" w:hAnsi="宋体"/>
          <w:b/>
          <w:sz w:val="44"/>
          <w:szCs w:val="44"/>
        </w:rPr>
        <w:t>日</w:t>
      </w:r>
    </w:p>
    <w:p>
      <w:pPr>
        <w:pStyle w:val="32"/>
        <w:spacing w:line="500" w:lineRule="exact"/>
        <w:ind w:firstLine="1391" w:firstLineChars="495"/>
        <w:rPr>
          <w:rFonts w:hAnsi="宋体"/>
          <w:b/>
          <w:sz w:val="28"/>
          <w:szCs w:val="28"/>
        </w:rPr>
      </w:pPr>
    </w:p>
    <w:p>
      <w:pPr>
        <w:pStyle w:val="33"/>
        <w:jc w:val="center"/>
        <w:rPr>
          <w:rFonts w:ascii="宋体" w:hAnsi="宋体"/>
        </w:rPr>
      </w:pPr>
      <w:r>
        <w:rPr>
          <w:rFonts w:ascii="宋体" w:hAnsi="宋体"/>
        </w:rPr>
        <w:br w:type="page"/>
      </w:r>
      <w:bookmarkStart w:id="114" w:name="_Toc18672588"/>
      <w:bookmarkStart w:id="115" w:name="_Toc5959"/>
      <w:r>
        <w:rPr>
          <w:rFonts w:hint="eastAsia" w:ascii="宋体" w:hAnsi="宋体"/>
          <w:b w:val="0"/>
          <w:bCs w:val="0"/>
        </w:rPr>
        <w:t>商务文件组成</w:t>
      </w:r>
      <w:bookmarkEnd w:id="114"/>
      <w:bookmarkEnd w:id="115"/>
    </w:p>
    <w:p>
      <w:pPr>
        <w:pStyle w:val="22"/>
        <w:rPr>
          <w:rFonts w:ascii="宋体" w:hAnsi="宋体"/>
        </w:rPr>
      </w:pPr>
    </w:p>
    <w:p>
      <w:pPr>
        <w:pStyle w:val="22"/>
        <w:jc w:val="center"/>
        <w:rPr>
          <w:rFonts w:ascii="宋体" w:hAnsi="宋体"/>
          <w:b/>
        </w:rPr>
      </w:pPr>
      <w:r>
        <w:rPr>
          <w:rFonts w:hint="eastAsia" w:ascii="宋体" w:hAnsi="宋体"/>
          <w:b/>
        </w:rPr>
        <w:t>目</w:t>
      </w:r>
      <w:r>
        <w:rPr>
          <w:rFonts w:ascii="宋体" w:hAnsi="宋体"/>
          <w:b/>
        </w:rPr>
        <w:t xml:space="preserve">   </w:t>
      </w:r>
      <w:r>
        <w:rPr>
          <w:rFonts w:hint="eastAsia" w:ascii="宋体" w:hAnsi="宋体"/>
          <w:b/>
        </w:rPr>
        <w:t>录</w:t>
      </w:r>
    </w:p>
    <w:p>
      <w:pPr>
        <w:pStyle w:val="22"/>
        <w:autoSpaceDE w:val="0"/>
        <w:autoSpaceDN w:val="0"/>
        <w:adjustRightInd w:val="0"/>
        <w:spacing w:line="500" w:lineRule="exact"/>
        <w:ind w:firstLine="140" w:firstLineChars="50"/>
        <w:jc w:val="left"/>
        <w:rPr>
          <w:rFonts w:ascii="宋体" w:hAnsi="宋体"/>
          <w:kern w:val="0"/>
          <w:szCs w:val="28"/>
        </w:rPr>
      </w:pPr>
      <w:r>
        <w:rPr>
          <w:rFonts w:ascii="宋体" w:hAnsi="宋体"/>
          <w:kern w:val="0"/>
          <w:szCs w:val="28"/>
        </w:rPr>
        <w:t>1</w:t>
      </w:r>
      <w:r>
        <w:rPr>
          <w:rFonts w:hint="eastAsia" w:ascii="宋体" w:hAnsi="宋体"/>
          <w:kern w:val="0"/>
          <w:szCs w:val="28"/>
        </w:rPr>
        <w:t>、投标函；</w:t>
      </w:r>
    </w:p>
    <w:p>
      <w:pPr>
        <w:pStyle w:val="22"/>
        <w:autoSpaceDE w:val="0"/>
        <w:autoSpaceDN w:val="0"/>
        <w:adjustRightInd w:val="0"/>
        <w:spacing w:line="500" w:lineRule="exact"/>
        <w:ind w:firstLine="140" w:firstLineChars="50"/>
        <w:jc w:val="left"/>
        <w:rPr>
          <w:rFonts w:ascii="宋体" w:hAnsi="宋体"/>
          <w:kern w:val="0"/>
          <w:szCs w:val="28"/>
        </w:rPr>
      </w:pPr>
      <w:r>
        <w:rPr>
          <w:rFonts w:ascii="宋体" w:hAnsi="宋体"/>
          <w:kern w:val="0"/>
          <w:szCs w:val="28"/>
        </w:rPr>
        <w:t>2</w:t>
      </w:r>
      <w:r>
        <w:rPr>
          <w:rFonts w:hint="eastAsia" w:ascii="宋体" w:hAnsi="宋体"/>
          <w:kern w:val="0"/>
          <w:szCs w:val="28"/>
        </w:rPr>
        <w:t>、开标一览表；</w:t>
      </w:r>
    </w:p>
    <w:p>
      <w:pPr>
        <w:pStyle w:val="22"/>
        <w:autoSpaceDE w:val="0"/>
        <w:autoSpaceDN w:val="0"/>
        <w:adjustRightInd w:val="0"/>
        <w:spacing w:line="500" w:lineRule="exact"/>
        <w:ind w:firstLine="140" w:firstLineChars="50"/>
        <w:jc w:val="left"/>
        <w:rPr>
          <w:rFonts w:ascii="宋体" w:hAnsi="宋体"/>
          <w:kern w:val="0"/>
          <w:szCs w:val="28"/>
        </w:rPr>
      </w:pPr>
      <w:r>
        <w:rPr>
          <w:rFonts w:ascii="宋体" w:hAnsi="宋体"/>
          <w:kern w:val="0"/>
          <w:szCs w:val="28"/>
        </w:rPr>
        <w:t>3、投标报价明细表；</w:t>
      </w:r>
    </w:p>
    <w:p>
      <w:pPr>
        <w:pStyle w:val="22"/>
        <w:tabs>
          <w:tab w:val="left" w:pos="1854"/>
        </w:tabs>
        <w:autoSpaceDE w:val="0"/>
        <w:autoSpaceDN w:val="0"/>
        <w:adjustRightInd w:val="0"/>
        <w:spacing w:line="500" w:lineRule="exact"/>
        <w:ind w:firstLine="140" w:firstLineChars="50"/>
        <w:jc w:val="left"/>
        <w:rPr>
          <w:rFonts w:ascii="宋体" w:hAnsi="宋体"/>
          <w:kern w:val="0"/>
          <w:szCs w:val="28"/>
        </w:rPr>
      </w:pPr>
      <w:r>
        <w:rPr>
          <w:rFonts w:ascii="宋体" w:hAnsi="宋体"/>
          <w:kern w:val="0"/>
          <w:szCs w:val="28"/>
        </w:rPr>
        <w:t>4</w:t>
      </w:r>
      <w:r>
        <w:rPr>
          <w:rFonts w:hint="eastAsia" w:ascii="宋体" w:hAnsi="宋体"/>
          <w:kern w:val="0"/>
          <w:szCs w:val="28"/>
        </w:rPr>
        <w:t>、投标货物、服务清单；</w:t>
      </w:r>
    </w:p>
    <w:p>
      <w:pPr>
        <w:pStyle w:val="22"/>
        <w:spacing w:line="500" w:lineRule="exact"/>
        <w:ind w:firstLine="140" w:firstLineChars="50"/>
        <w:jc w:val="left"/>
        <w:rPr>
          <w:rFonts w:ascii="宋体" w:hAnsi="宋体"/>
          <w:szCs w:val="28"/>
        </w:rPr>
      </w:pPr>
      <w:r>
        <w:rPr>
          <w:rFonts w:ascii="宋体" w:hAnsi="宋体"/>
          <w:szCs w:val="28"/>
        </w:rPr>
        <w:t>5</w:t>
      </w:r>
      <w:r>
        <w:rPr>
          <w:rFonts w:hint="eastAsia" w:ascii="宋体" w:hAnsi="宋体"/>
          <w:szCs w:val="28"/>
        </w:rPr>
        <w:t>、商务响应、偏离说明表；</w:t>
      </w:r>
    </w:p>
    <w:p>
      <w:pPr>
        <w:pStyle w:val="22"/>
        <w:spacing w:line="500" w:lineRule="exact"/>
        <w:ind w:firstLine="140" w:firstLineChars="50"/>
        <w:jc w:val="left"/>
        <w:rPr>
          <w:rFonts w:ascii="宋体" w:hAnsi="宋体"/>
          <w:szCs w:val="28"/>
        </w:rPr>
      </w:pPr>
      <w:r>
        <w:rPr>
          <w:rFonts w:ascii="宋体" w:hAnsi="宋体"/>
          <w:szCs w:val="28"/>
        </w:rPr>
        <w:t>6</w:t>
      </w:r>
      <w:r>
        <w:rPr>
          <w:rFonts w:hint="eastAsia" w:ascii="宋体" w:hAnsi="宋体"/>
          <w:szCs w:val="28"/>
        </w:rPr>
        <w:t>、技术响应、偏离说明表；</w:t>
      </w:r>
    </w:p>
    <w:p>
      <w:pPr>
        <w:pStyle w:val="22"/>
        <w:spacing w:line="500" w:lineRule="exact"/>
        <w:ind w:firstLine="140" w:firstLineChars="50"/>
        <w:jc w:val="left"/>
        <w:rPr>
          <w:rFonts w:ascii="宋体" w:hAnsi="宋体"/>
          <w:bCs/>
          <w:szCs w:val="28"/>
        </w:rPr>
      </w:pPr>
      <w:r>
        <w:rPr>
          <w:rFonts w:ascii="宋体" w:hAnsi="宋体"/>
          <w:szCs w:val="28"/>
        </w:rPr>
        <w:t>7</w:t>
      </w:r>
      <w:r>
        <w:rPr>
          <w:rFonts w:hint="eastAsia" w:ascii="宋体" w:hAnsi="宋体"/>
          <w:szCs w:val="28"/>
        </w:rPr>
        <w:t>、</w:t>
      </w:r>
      <w:r>
        <w:rPr>
          <w:rFonts w:hint="eastAsia" w:ascii="宋体" w:hAnsi="宋体"/>
          <w:bCs/>
          <w:szCs w:val="28"/>
        </w:rPr>
        <w:t>投标资格证明文件：</w:t>
      </w:r>
    </w:p>
    <w:p>
      <w:pPr>
        <w:pStyle w:val="6"/>
        <w:spacing w:line="500" w:lineRule="exact"/>
        <w:ind w:firstLine="565" w:firstLineChars="202"/>
        <w:rPr>
          <w:rFonts w:ascii="宋体" w:hAnsi="宋体"/>
          <w:kern w:val="0"/>
          <w:sz w:val="28"/>
          <w:szCs w:val="28"/>
        </w:rPr>
      </w:pPr>
      <w:r>
        <w:rPr>
          <w:rFonts w:hint="eastAsia" w:ascii="宋体" w:hAnsi="宋体"/>
          <w:kern w:val="0"/>
          <w:sz w:val="28"/>
          <w:szCs w:val="28"/>
        </w:rPr>
        <w:t>（</w:t>
      </w:r>
      <w:r>
        <w:rPr>
          <w:rFonts w:ascii="宋体" w:hAnsi="宋体"/>
          <w:kern w:val="0"/>
          <w:sz w:val="28"/>
          <w:szCs w:val="28"/>
        </w:rPr>
        <w:t>1）法人或者其他组织的营业执照原件彩色</w:t>
      </w:r>
      <w:r>
        <w:rPr>
          <w:rFonts w:hint="eastAsia" w:ascii="宋体" w:hAnsi="宋体"/>
          <w:kern w:val="0"/>
          <w:sz w:val="28"/>
          <w:szCs w:val="28"/>
        </w:rPr>
        <w:t>复印件；</w:t>
      </w:r>
    </w:p>
    <w:p>
      <w:pPr>
        <w:pStyle w:val="6"/>
        <w:spacing w:line="500" w:lineRule="exact"/>
        <w:ind w:firstLine="565" w:firstLineChars="202"/>
        <w:rPr>
          <w:rFonts w:ascii="宋体" w:hAnsi="宋体"/>
          <w:kern w:val="0"/>
          <w:sz w:val="28"/>
          <w:szCs w:val="28"/>
        </w:rPr>
      </w:pPr>
      <w:r>
        <w:rPr>
          <w:rFonts w:hint="eastAsia" w:ascii="宋体" w:hAnsi="宋体"/>
          <w:kern w:val="0"/>
          <w:sz w:val="28"/>
          <w:szCs w:val="28"/>
        </w:rPr>
        <w:t>（2</w:t>
      </w:r>
      <w:r>
        <w:rPr>
          <w:rFonts w:ascii="宋体" w:hAnsi="宋体"/>
          <w:kern w:val="0"/>
          <w:sz w:val="28"/>
          <w:szCs w:val="28"/>
        </w:rPr>
        <w:t>）招标文件要求或投标人认为需提供的其它相关资格证明材料。</w:t>
      </w:r>
    </w:p>
    <w:p>
      <w:pPr>
        <w:pStyle w:val="22"/>
        <w:autoSpaceDE w:val="0"/>
        <w:autoSpaceDN w:val="0"/>
        <w:adjustRightInd w:val="0"/>
        <w:spacing w:line="500" w:lineRule="exact"/>
        <w:ind w:firstLine="140" w:firstLineChars="50"/>
        <w:jc w:val="left"/>
        <w:rPr>
          <w:rFonts w:ascii="宋体" w:hAnsi="宋体"/>
          <w:kern w:val="0"/>
          <w:szCs w:val="28"/>
        </w:rPr>
      </w:pPr>
      <w:r>
        <w:rPr>
          <w:rFonts w:ascii="宋体" w:hAnsi="宋体"/>
          <w:bCs/>
          <w:szCs w:val="28"/>
        </w:rPr>
        <w:t>8</w:t>
      </w:r>
      <w:r>
        <w:rPr>
          <w:rFonts w:hint="eastAsia" w:ascii="宋体" w:hAnsi="宋体"/>
          <w:bCs/>
          <w:szCs w:val="28"/>
        </w:rPr>
        <w:t>、投</w:t>
      </w:r>
      <w:r>
        <w:rPr>
          <w:rFonts w:hint="eastAsia" w:ascii="宋体" w:hAnsi="宋体"/>
          <w:kern w:val="0"/>
          <w:szCs w:val="28"/>
        </w:rPr>
        <w:t>标人的资格声明；</w:t>
      </w:r>
    </w:p>
    <w:p>
      <w:pPr>
        <w:pStyle w:val="22"/>
        <w:autoSpaceDE w:val="0"/>
        <w:autoSpaceDN w:val="0"/>
        <w:adjustRightInd w:val="0"/>
        <w:spacing w:line="500" w:lineRule="exact"/>
        <w:ind w:firstLine="140" w:firstLineChars="50"/>
        <w:jc w:val="left"/>
        <w:rPr>
          <w:rFonts w:ascii="宋体" w:hAnsi="宋体"/>
          <w:kern w:val="0"/>
          <w:szCs w:val="28"/>
        </w:rPr>
      </w:pPr>
      <w:r>
        <w:rPr>
          <w:rFonts w:ascii="宋体" w:hAnsi="宋体"/>
          <w:kern w:val="0"/>
          <w:szCs w:val="28"/>
        </w:rPr>
        <w:t>9、项目负责人、技术负责人简历表；</w:t>
      </w:r>
    </w:p>
    <w:p>
      <w:pPr>
        <w:pStyle w:val="22"/>
        <w:autoSpaceDE w:val="0"/>
        <w:autoSpaceDN w:val="0"/>
        <w:adjustRightInd w:val="0"/>
        <w:spacing w:line="500" w:lineRule="exact"/>
        <w:ind w:firstLine="140" w:firstLineChars="50"/>
        <w:jc w:val="left"/>
        <w:rPr>
          <w:rFonts w:ascii="宋体" w:hAnsi="宋体"/>
          <w:kern w:val="0"/>
          <w:szCs w:val="28"/>
        </w:rPr>
      </w:pPr>
      <w:r>
        <w:rPr>
          <w:rFonts w:ascii="宋体" w:hAnsi="宋体"/>
          <w:kern w:val="0"/>
          <w:szCs w:val="28"/>
        </w:rPr>
        <w:t>10、项目班子成员情况表；</w:t>
      </w:r>
    </w:p>
    <w:p>
      <w:pPr>
        <w:pStyle w:val="22"/>
        <w:autoSpaceDE w:val="0"/>
        <w:autoSpaceDN w:val="0"/>
        <w:adjustRightInd w:val="0"/>
        <w:spacing w:line="500" w:lineRule="exact"/>
        <w:ind w:firstLine="140" w:firstLineChars="50"/>
        <w:jc w:val="left"/>
        <w:rPr>
          <w:rFonts w:ascii="宋体" w:hAnsi="宋体"/>
          <w:kern w:val="0"/>
          <w:szCs w:val="28"/>
        </w:rPr>
      </w:pPr>
      <w:r>
        <w:rPr>
          <w:rFonts w:ascii="宋体" w:hAnsi="宋体"/>
          <w:kern w:val="0"/>
          <w:szCs w:val="28"/>
        </w:rPr>
        <w:t>11、投标人类似项目业绩表；</w:t>
      </w:r>
    </w:p>
    <w:p>
      <w:pPr>
        <w:pStyle w:val="22"/>
        <w:autoSpaceDE w:val="0"/>
        <w:autoSpaceDN w:val="0"/>
        <w:adjustRightInd w:val="0"/>
        <w:spacing w:line="500" w:lineRule="exact"/>
        <w:ind w:firstLine="140" w:firstLineChars="50"/>
        <w:jc w:val="left"/>
        <w:rPr>
          <w:rFonts w:ascii="宋体" w:hAnsi="宋体"/>
          <w:kern w:val="0"/>
          <w:szCs w:val="28"/>
        </w:rPr>
      </w:pPr>
      <w:r>
        <w:rPr>
          <w:rFonts w:ascii="宋体" w:hAnsi="宋体"/>
          <w:kern w:val="0"/>
          <w:szCs w:val="28"/>
        </w:rPr>
        <w:t>12、招标文件要求提供或投标人认为需提供的其它资料；</w:t>
      </w:r>
    </w:p>
    <w:p>
      <w:pPr>
        <w:pStyle w:val="22"/>
        <w:autoSpaceDE w:val="0"/>
        <w:autoSpaceDN w:val="0"/>
        <w:adjustRightInd w:val="0"/>
        <w:spacing w:line="500" w:lineRule="exact"/>
        <w:ind w:firstLine="140" w:firstLineChars="50"/>
        <w:jc w:val="left"/>
        <w:rPr>
          <w:rFonts w:ascii="宋体" w:hAnsi="宋体"/>
          <w:kern w:val="0"/>
          <w:szCs w:val="28"/>
        </w:rPr>
      </w:pPr>
      <w:r>
        <w:rPr>
          <w:rFonts w:ascii="宋体" w:hAnsi="宋体"/>
          <w:kern w:val="0"/>
          <w:szCs w:val="28"/>
        </w:rPr>
        <w:t>13、资格性审查对照表；</w:t>
      </w:r>
    </w:p>
    <w:p>
      <w:pPr>
        <w:pStyle w:val="22"/>
        <w:autoSpaceDE w:val="0"/>
        <w:autoSpaceDN w:val="0"/>
        <w:adjustRightInd w:val="0"/>
        <w:spacing w:line="500" w:lineRule="exact"/>
        <w:ind w:firstLine="140" w:firstLineChars="50"/>
        <w:jc w:val="left"/>
        <w:rPr>
          <w:rFonts w:ascii="宋体" w:hAnsi="宋体"/>
          <w:kern w:val="0"/>
          <w:szCs w:val="28"/>
        </w:rPr>
      </w:pPr>
      <w:r>
        <w:rPr>
          <w:rFonts w:ascii="宋体" w:hAnsi="宋体"/>
          <w:kern w:val="0"/>
          <w:szCs w:val="28"/>
        </w:rPr>
        <w:t>14、符合性审查对照表；</w:t>
      </w:r>
    </w:p>
    <w:p>
      <w:pPr>
        <w:pStyle w:val="22"/>
        <w:autoSpaceDE w:val="0"/>
        <w:autoSpaceDN w:val="0"/>
        <w:adjustRightInd w:val="0"/>
        <w:spacing w:line="500" w:lineRule="exact"/>
        <w:ind w:firstLine="140" w:firstLineChars="50"/>
        <w:jc w:val="left"/>
        <w:rPr>
          <w:rFonts w:ascii="宋体" w:hAnsi="宋体"/>
          <w:kern w:val="0"/>
          <w:szCs w:val="28"/>
        </w:rPr>
      </w:pPr>
      <w:r>
        <w:rPr>
          <w:rFonts w:ascii="宋体" w:hAnsi="宋体"/>
          <w:kern w:val="0"/>
          <w:szCs w:val="28"/>
        </w:rPr>
        <w:t>15、商务评议对照表；</w:t>
      </w:r>
    </w:p>
    <w:p>
      <w:pPr>
        <w:pStyle w:val="22"/>
        <w:autoSpaceDE w:val="0"/>
        <w:autoSpaceDN w:val="0"/>
        <w:adjustRightInd w:val="0"/>
        <w:spacing w:line="500" w:lineRule="exact"/>
        <w:ind w:firstLine="140" w:firstLineChars="50"/>
        <w:jc w:val="left"/>
        <w:rPr>
          <w:rFonts w:ascii="宋体" w:hAnsi="宋体"/>
          <w:kern w:val="0"/>
          <w:szCs w:val="28"/>
        </w:rPr>
      </w:pPr>
      <w:r>
        <w:rPr>
          <w:rFonts w:ascii="宋体" w:hAnsi="宋体"/>
          <w:kern w:val="0"/>
          <w:szCs w:val="28"/>
        </w:rPr>
        <w:t>16、技术评议对照表；</w:t>
      </w:r>
    </w:p>
    <w:p>
      <w:pPr>
        <w:pStyle w:val="35"/>
        <w:jc w:val="center"/>
        <w:rPr>
          <w:rFonts w:ascii="宋体" w:hAnsi="宋体"/>
        </w:rPr>
      </w:pPr>
      <w:r>
        <w:rPr>
          <w:rFonts w:ascii="宋体" w:hAnsi="宋体"/>
        </w:rPr>
        <w:br w:type="page"/>
      </w:r>
      <w:bookmarkStart w:id="116" w:name="_Toc5974923"/>
      <w:bookmarkStart w:id="117" w:name="_Toc519362000"/>
      <w:r>
        <w:rPr>
          <w:rFonts w:hint="eastAsia" w:ascii="宋体" w:hAnsi="宋体"/>
        </w:rPr>
        <w:t>投标函</w:t>
      </w:r>
      <w:bookmarkEnd w:id="116"/>
      <w:bookmarkEnd w:id="117"/>
    </w:p>
    <w:p>
      <w:pPr>
        <w:pStyle w:val="22"/>
        <w:adjustRightInd w:val="0"/>
        <w:snapToGrid w:val="0"/>
        <w:spacing w:line="440" w:lineRule="exact"/>
        <w:jc w:val="left"/>
        <w:rPr>
          <w:rFonts w:ascii="宋体" w:hAnsi="宋体"/>
          <w:szCs w:val="28"/>
        </w:rPr>
      </w:pPr>
      <w:r>
        <w:rPr>
          <w:rFonts w:hint="eastAsia" w:ascii="宋体" w:hAnsi="宋体"/>
          <w:szCs w:val="28"/>
          <w:u w:val="single"/>
        </w:rPr>
        <w:t>（代理机构名称）</w:t>
      </w:r>
      <w:r>
        <w:rPr>
          <w:rFonts w:hint="eastAsia" w:ascii="宋体" w:hAnsi="宋体"/>
          <w:szCs w:val="28"/>
        </w:rPr>
        <w:t>：</w:t>
      </w:r>
    </w:p>
    <w:p>
      <w:pPr>
        <w:pStyle w:val="22"/>
        <w:autoSpaceDE w:val="0"/>
        <w:autoSpaceDN w:val="0"/>
        <w:adjustRightInd w:val="0"/>
        <w:spacing w:line="440" w:lineRule="exact"/>
        <w:ind w:right="26" w:firstLine="560" w:firstLineChars="200"/>
        <w:jc w:val="left"/>
        <w:rPr>
          <w:rFonts w:ascii="宋体" w:hAnsi="宋体"/>
          <w:kern w:val="0"/>
          <w:szCs w:val="28"/>
        </w:rPr>
      </w:pPr>
      <w:r>
        <w:rPr>
          <w:rFonts w:hint="eastAsia" w:ascii="宋体" w:hAnsi="宋体"/>
          <w:kern w:val="0"/>
          <w:szCs w:val="28"/>
        </w:rPr>
        <w:t>依据贵方</w:t>
      </w:r>
      <w:r>
        <w:rPr>
          <w:rFonts w:ascii="宋体" w:hAnsi="宋体"/>
          <w:szCs w:val="28"/>
          <w:u w:val="single"/>
        </w:rPr>
        <w:t xml:space="preserve"> (采购项目名称/采购项目编号) </w:t>
      </w:r>
      <w:r>
        <w:rPr>
          <w:rFonts w:hint="eastAsia" w:ascii="宋体" w:hAnsi="宋体"/>
          <w:kern w:val="0"/>
          <w:szCs w:val="28"/>
        </w:rPr>
        <w:t>项目招标采购货物及其相关服务的投标邀请，我方代表</w:t>
      </w:r>
      <w:r>
        <w:rPr>
          <w:rFonts w:hint="eastAsia" w:ascii="宋体" w:hAnsi="宋体"/>
          <w:szCs w:val="28"/>
          <w:u w:val="single"/>
        </w:rPr>
        <w:t>（姓名、职务）</w:t>
      </w:r>
      <w:r>
        <w:rPr>
          <w:rFonts w:hint="eastAsia" w:ascii="宋体" w:hAnsi="宋体"/>
          <w:kern w:val="0"/>
          <w:szCs w:val="28"/>
        </w:rPr>
        <w:t>经正式授权并代表投标人</w:t>
      </w:r>
      <w:r>
        <w:rPr>
          <w:rFonts w:hint="eastAsia" w:ascii="宋体" w:hAnsi="宋体"/>
          <w:szCs w:val="28"/>
          <w:u w:val="single"/>
        </w:rPr>
        <w:t>（投标人名称、地址）</w:t>
      </w:r>
      <w:r>
        <w:rPr>
          <w:rFonts w:hint="eastAsia" w:ascii="宋体" w:hAnsi="宋体"/>
          <w:kern w:val="0"/>
          <w:szCs w:val="28"/>
        </w:rPr>
        <w:t>提交下述投标文件三份。其中：纸质投标文件二份，电子投标文件一份。</w:t>
      </w:r>
    </w:p>
    <w:p>
      <w:pPr>
        <w:pStyle w:val="22"/>
        <w:autoSpaceDE w:val="0"/>
        <w:autoSpaceDN w:val="0"/>
        <w:adjustRightInd w:val="0"/>
        <w:spacing w:line="440" w:lineRule="exact"/>
        <w:ind w:right="246" w:firstLine="560" w:firstLineChars="200"/>
        <w:jc w:val="left"/>
        <w:rPr>
          <w:rFonts w:ascii="宋体" w:hAnsi="宋体"/>
          <w:kern w:val="0"/>
          <w:szCs w:val="28"/>
        </w:rPr>
      </w:pPr>
      <w:r>
        <w:rPr>
          <w:rFonts w:ascii="宋体" w:hAnsi="宋体"/>
          <w:kern w:val="0"/>
          <w:szCs w:val="28"/>
        </w:rPr>
        <w:t>1</w:t>
      </w:r>
      <w:r>
        <w:rPr>
          <w:rFonts w:hint="eastAsia" w:ascii="宋体" w:hAnsi="宋体"/>
          <w:kern w:val="0"/>
          <w:szCs w:val="28"/>
        </w:rPr>
        <w:t>．开标一览表；</w:t>
      </w:r>
    </w:p>
    <w:p>
      <w:pPr>
        <w:pStyle w:val="22"/>
        <w:autoSpaceDE w:val="0"/>
        <w:autoSpaceDN w:val="0"/>
        <w:adjustRightInd w:val="0"/>
        <w:spacing w:line="440" w:lineRule="exact"/>
        <w:ind w:right="246" w:firstLine="560" w:firstLineChars="200"/>
        <w:jc w:val="left"/>
        <w:rPr>
          <w:rFonts w:ascii="宋体" w:hAnsi="宋体"/>
          <w:kern w:val="0"/>
          <w:szCs w:val="28"/>
        </w:rPr>
      </w:pPr>
      <w:r>
        <w:rPr>
          <w:rFonts w:ascii="宋体" w:hAnsi="宋体"/>
          <w:kern w:val="0"/>
          <w:szCs w:val="28"/>
        </w:rPr>
        <w:t>2．商务文件；</w:t>
      </w:r>
    </w:p>
    <w:p>
      <w:pPr>
        <w:pStyle w:val="22"/>
        <w:autoSpaceDE w:val="0"/>
        <w:autoSpaceDN w:val="0"/>
        <w:adjustRightInd w:val="0"/>
        <w:spacing w:line="440" w:lineRule="exact"/>
        <w:ind w:right="246" w:firstLine="560" w:firstLineChars="200"/>
        <w:jc w:val="left"/>
        <w:rPr>
          <w:rFonts w:ascii="宋体" w:hAnsi="宋体"/>
          <w:kern w:val="0"/>
          <w:szCs w:val="28"/>
        </w:rPr>
      </w:pPr>
      <w:r>
        <w:rPr>
          <w:rFonts w:ascii="宋体" w:hAnsi="宋体"/>
          <w:kern w:val="0"/>
          <w:szCs w:val="28"/>
        </w:rPr>
        <w:t>3．技术文件；</w:t>
      </w:r>
    </w:p>
    <w:p>
      <w:pPr>
        <w:pStyle w:val="22"/>
        <w:autoSpaceDE w:val="0"/>
        <w:autoSpaceDN w:val="0"/>
        <w:adjustRightInd w:val="0"/>
        <w:spacing w:line="440" w:lineRule="exact"/>
        <w:ind w:right="246" w:firstLine="560" w:firstLineChars="200"/>
        <w:jc w:val="left"/>
        <w:rPr>
          <w:rFonts w:ascii="宋体" w:hAnsi="宋体"/>
          <w:kern w:val="0"/>
          <w:szCs w:val="28"/>
        </w:rPr>
      </w:pPr>
      <w:r>
        <w:rPr>
          <w:rFonts w:hint="eastAsia" w:ascii="宋体" w:hAnsi="宋体"/>
          <w:kern w:val="0"/>
          <w:szCs w:val="28"/>
        </w:rPr>
        <w:t>在此，我方宣布同意如下：</w:t>
      </w:r>
    </w:p>
    <w:p>
      <w:pPr>
        <w:pStyle w:val="22"/>
        <w:adjustRightInd w:val="0"/>
        <w:snapToGrid w:val="0"/>
        <w:spacing w:line="440" w:lineRule="exact"/>
        <w:ind w:firstLine="560" w:firstLineChars="200"/>
        <w:jc w:val="left"/>
        <w:rPr>
          <w:rFonts w:ascii="宋体" w:hAnsi="宋体"/>
          <w:kern w:val="0"/>
          <w:szCs w:val="28"/>
        </w:rPr>
      </w:pPr>
      <w:r>
        <w:rPr>
          <w:rFonts w:hint="eastAsia" w:ascii="宋体" w:hAnsi="宋体"/>
          <w:kern w:val="0"/>
          <w:szCs w:val="28"/>
        </w:rPr>
        <w:t>（</w:t>
      </w:r>
      <w:r>
        <w:rPr>
          <w:rFonts w:ascii="宋体" w:hAnsi="宋体"/>
          <w:kern w:val="0"/>
          <w:szCs w:val="28"/>
        </w:rPr>
        <w:t>1）我方愿意以本投标文件所附《开标一览表》申明的投标报价、</w:t>
      </w:r>
      <w:r>
        <w:rPr>
          <w:rFonts w:hint="eastAsia" w:ascii="宋体" w:hAnsi="宋体"/>
          <w:kern w:val="0"/>
          <w:szCs w:val="28"/>
        </w:rPr>
        <w:t>交货期、</w:t>
      </w:r>
      <w:r>
        <w:rPr>
          <w:rFonts w:hint="eastAsia" w:ascii="宋体" w:hAnsi="宋体"/>
          <w:szCs w:val="28"/>
        </w:rPr>
        <w:t>售后服务保障期</w:t>
      </w:r>
      <w:r>
        <w:rPr>
          <w:rFonts w:hint="eastAsia" w:ascii="宋体" w:hAnsi="宋体"/>
          <w:kern w:val="0"/>
          <w:szCs w:val="28"/>
        </w:rPr>
        <w:t>等进行投标。</w:t>
      </w:r>
    </w:p>
    <w:p>
      <w:pPr>
        <w:pStyle w:val="22"/>
        <w:adjustRightInd w:val="0"/>
        <w:snapToGrid w:val="0"/>
        <w:spacing w:line="440" w:lineRule="exact"/>
        <w:ind w:firstLine="560" w:firstLineChars="200"/>
        <w:jc w:val="left"/>
        <w:rPr>
          <w:rFonts w:ascii="宋体" w:hAnsi="宋体"/>
          <w:kern w:val="0"/>
          <w:szCs w:val="28"/>
        </w:rPr>
      </w:pPr>
      <w:r>
        <w:rPr>
          <w:rFonts w:hint="eastAsia" w:ascii="宋体" w:hAnsi="宋体"/>
          <w:kern w:val="0"/>
          <w:szCs w:val="28"/>
        </w:rPr>
        <w:t>（</w:t>
      </w:r>
      <w:r>
        <w:rPr>
          <w:rFonts w:ascii="宋体" w:hAnsi="宋体"/>
          <w:kern w:val="0"/>
          <w:szCs w:val="28"/>
        </w:rPr>
        <w:t>2）我方将按招标文件的约定履行合同责任和义务。</w:t>
      </w:r>
    </w:p>
    <w:p>
      <w:pPr>
        <w:pStyle w:val="22"/>
        <w:adjustRightInd w:val="0"/>
        <w:snapToGrid w:val="0"/>
        <w:spacing w:line="440" w:lineRule="exact"/>
        <w:ind w:firstLine="560" w:firstLineChars="200"/>
        <w:jc w:val="left"/>
        <w:rPr>
          <w:rFonts w:ascii="宋体" w:hAnsi="宋体"/>
          <w:kern w:val="0"/>
          <w:szCs w:val="28"/>
        </w:rPr>
      </w:pPr>
      <w:r>
        <w:rPr>
          <w:rFonts w:hint="eastAsia" w:ascii="宋体" w:hAnsi="宋体"/>
          <w:kern w:val="0"/>
          <w:szCs w:val="28"/>
        </w:rPr>
        <w:t>（</w:t>
      </w:r>
      <w:r>
        <w:rPr>
          <w:rFonts w:ascii="宋体" w:hAnsi="宋体"/>
          <w:kern w:val="0"/>
          <w:szCs w:val="28"/>
        </w:rPr>
        <w:t>3）我方已审阅全部招标文件，包括招标文件的澄清和更正公告（如有）及相关附件，我方已完全理解招标文件并对招标文件不存在任何异议。</w:t>
      </w:r>
    </w:p>
    <w:p>
      <w:pPr>
        <w:pStyle w:val="22"/>
        <w:adjustRightInd w:val="0"/>
        <w:snapToGrid w:val="0"/>
        <w:spacing w:line="440" w:lineRule="exact"/>
        <w:ind w:firstLine="560" w:firstLineChars="200"/>
        <w:jc w:val="left"/>
        <w:rPr>
          <w:rFonts w:ascii="宋体" w:hAnsi="宋体"/>
          <w:kern w:val="0"/>
          <w:szCs w:val="28"/>
        </w:rPr>
      </w:pPr>
      <w:r>
        <w:rPr>
          <w:rFonts w:hint="eastAsia" w:ascii="宋体" w:hAnsi="宋体"/>
          <w:kern w:val="0"/>
          <w:szCs w:val="28"/>
        </w:rPr>
        <w:t>（</w:t>
      </w:r>
      <w:r>
        <w:rPr>
          <w:rFonts w:ascii="宋体" w:hAnsi="宋体"/>
          <w:kern w:val="0"/>
          <w:szCs w:val="28"/>
        </w:rPr>
        <w:t>4）所提交的投标文件在招标文件规定的投标有效期内有效，在此期间内如果中标，我方将受此约束。</w:t>
      </w:r>
    </w:p>
    <w:p>
      <w:pPr>
        <w:pStyle w:val="22"/>
        <w:adjustRightInd w:val="0"/>
        <w:snapToGrid w:val="0"/>
        <w:spacing w:line="440" w:lineRule="exact"/>
        <w:ind w:firstLine="560" w:firstLineChars="200"/>
        <w:jc w:val="left"/>
        <w:rPr>
          <w:rFonts w:ascii="宋体" w:hAnsi="宋体"/>
          <w:kern w:val="0"/>
          <w:szCs w:val="28"/>
        </w:rPr>
      </w:pPr>
      <w:r>
        <w:rPr>
          <w:rFonts w:hint="eastAsia" w:ascii="宋体" w:hAnsi="宋体"/>
          <w:kern w:val="0"/>
          <w:szCs w:val="28"/>
        </w:rPr>
        <w:t>（5</w:t>
      </w:r>
      <w:r>
        <w:rPr>
          <w:rFonts w:ascii="宋体" w:hAnsi="宋体"/>
          <w:kern w:val="0"/>
          <w:szCs w:val="28"/>
        </w:rPr>
        <w:t>）我方承诺所提交的投标文件及相关资料真实有效。</w:t>
      </w:r>
    </w:p>
    <w:p>
      <w:pPr>
        <w:pStyle w:val="22"/>
        <w:adjustRightInd w:val="0"/>
        <w:snapToGrid w:val="0"/>
        <w:spacing w:line="440" w:lineRule="exact"/>
        <w:ind w:firstLine="560" w:firstLineChars="200"/>
        <w:jc w:val="left"/>
        <w:rPr>
          <w:rFonts w:ascii="宋体" w:hAnsi="宋体"/>
          <w:kern w:val="0"/>
          <w:szCs w:val="28"/>
        </w:rPr>
      </w:pPr>
      <w:r>
        <w:rPr>
          <w:rFonts w:hint="eastAsia" w:ascii="宋体" w:hAnsi="宋体"/>
          <w:kern w:val="0"/>
          <w:szCs w:val="28"/>
        </w:rPr>
        <w:t>（6</w:t>
      </w:r>
      <w:r>
        <w:rPr>
          <w:rFonts w:ascii="宋体" w:hAnsi="宋体"/>
          <w:kern w:val="0"/>
          <w:szCs w:val="28"/>
        </w:rPr>
        <w:t>）与本投标有关的一切正式往来信函请寄：________。</w:t>
      </w:r>
    </w:p>
    <w:p>
      <w:pPr>
        <w:pStyle w:val="22"/>
        <w:adjustRightInd w:val="0"/>
        <w:snapToGrid w:val="0"/>
        <w:spacing w:line="440" w:lineRule="exact"/>
        <w:ind w:firstLine="560" w:firstLineChars="200"/>
        <w:jc w:val="left"/>
        <w:rPr>
          <w:rFonts w:ascii="宋体" w:hAnsi="宋体"/>
          <w:kern w:val="0"/>
          <w:szCs w:val="28"/>
        </w:rPr>
      </w:pPr>
      <w:r>
        <w:rPr>
          <w:rFonts w:hint="eastAsia" w:ascii="宋体" w:hAnsi="宋体"/>
          <w:kern w:val="0"/>
          <w:szCs w:val="28"/>
        </w:rPr>
        <w:t>（7</w:t>
      </w:r>
      <w:r>
        <w:rPr>
          <w:rFonts w:ascii="宋体" w:hAnsi="宋体"/>
          <w:kern w:val="0"/>
          <w:szCs w:val="28"/>
        </w:rPr>
        <w:t>）其他：_______________________________。</w:t>
      </w:r>
    </w:p>
    <w:p>
      <w:pPr>
        <w:pStyle w:val="22"/>
        <w:adjustRightInd w:val="0"/>
        <w:snapToGrid w:val="0"/>
        <w:spacing w:line="440" w:lineRule="exact"/>
        <w:ind w:firstLine="560" w:firstLineChars="200"/>
        <w:jc w:val="left"/>
        <w:rPr>
          <w:rFonts w:ascii="宋体" w:hAnsi="宋体"/>
          <w:szCs w:val="28"/>
        </w:rPr>
      </w:pPr>
    </w:p>
    <w:p>
      <w:pPr>
        <w:pStyle w:val="22"/>
        <w:adjustRightInd w:val="0"/>
        <w:snapToGrid w:val="0"/>
        <w:spacing w:line="440" w:lineRule="exact"/>
        <w:ind w:firstLine="2125" w:firstLineChars="759"/>
        <w:jc w:val="left"/>
        <w:rPr>
          <w:rFonts w:ascii="宋体" w:hAnsi="宋体"/>
          <w:szCs w:val="28"/>
          <w:u w:val="single"/>
        </w:rPr>
      </w:pPr>
      <w:r>
        <w:rPr>
          <w:rFonts w:hint="eastAsia" w:ascii="宋体" w:hAnsi="宋体"/>
          <w:szCs w:val="28"/>
        </w:rPr>
        <w:t>投标人名称</w:t>
      </w:r>
      <w:r>
        <w:rPr>
          <w:rFonts w:ascii="宋体" w:hAnsi="宋体"/>
          <w:szCs w:val="28"/>
        </w:rPr>
        <w:t xml:space="preserve">(公章)： </w:t>
      </w:r>
      <w:r>
        <w:rPr>
          <w:rFonts w:ascii="宋体" w:hAnsi="宋体"/>
          <w:szCs w:val="28"/>
          <w:u w:val="single"/>
        </w:rPr>
        <w:t xml:space="preserve">                      </w:t>
      </w:r>
    </w:p>
    <w:p>
      <w:pPr>
        <w:pStyle w:val="22"/>
        <w:adjustRightInd w:val="0"/>
        <w:snapToGrid w:val="0"/>
        <w:spacing w:line="440" w:lineRule="exact"/>
        <w:ind w:firstLine="2125" w:firstLineChars="759"/>
        <w:jc w:val="left"/>
        <w:rPr>
          <w:rFonts w:ascii="宋体" w:hAnsi="宋体"/>
          <w:szCs w:val="28"/>
          <w:u w:val="single"/>
        </w:rPr>
      </w:pPr>
      <w:r>
        <w:rPr>
          <w:rFonts w:hint="eastAsia" w:ascii="宋体" w:hAnsi="宋体"/>
          <w:szCs w:val="28"/>
        </w:rPr>
        <w:t>法定代表人签章：</w:t>
      </w:r>
      <w:r>
        <w:rPr>
          <w:rFonts w:ascii="宋体" w:hAnsi="宋体"/>
          <w:szCs w:val="28"/>
          <w:u w:val="single"/>
        </w:rPr>
        <w:t xml:space="preserve">                         </w:t>
      </w:r>
    </w:p>
    <w:p>
      <w:pPr>
        <w:pStyle w:val="22"/>
        <w:autoSpaceDE w:val="0"/>
        <w:autoSpaceDN w:val="0"/>
        <w:adjustRightInd w:val="0"/>
        <w:spacing w:line="440" w:lineRule="exact"/>
        <w:ind w:right="246" w:firstLine="2125" w:firstLineChars="759"/>
        <w:jc w:val="left"/>
        <w:rPr>
          <w:rFonts w:ascii="宋体" w:hAnsi="宋体"/>
          <w:kern w:val="0"/>
          <w:szCs w:val="28"/>
        </w:rPr>
      </w:pPr>
      <w:r>
        <w:rPr>
          <w:rFonts w:hint="eastAsia" w:ascii="宋体" w:hAnsi="宋体"/>
          <w:kern w:val="0"/>
          <w:szCs w:val="28"/>
        </w:rPr>
        <w:t>地</w:t>
      </w:r>
      <w:r>
        <w:rPr>
          <w:rFonts w:ascii="宋体" w:hAnsi="宋体"/>
          <w:kern w:val="0"/>
          <w:szCs w:val="28"/>
        </w:rPr>
        <w:t xml:space="preserve">    </w:t>
      </w:r>
      <w:r>
        <w:rPr>
          <w:rFonts w:hint="eastAsia" w:ascii="宋体" w:hAnsi="宋体"/>
          <w:kern w:val="0"/>
          <w:szCs w:val="28"/>
        </w:rPr>
        <w:t>址：</w:t>
      </w:r>
      <w:r>
        <w:rPr>
          <w:rFonts w:ascii="宋体" w:hAnsi="宋体"/>
          <w:kern w:val="0"/>
          <w:szCs w:val="28"/>
          <w:u w:val="single"/>
        </w:rPr>
        <w:t xml:space="preserve">                               </w:t>
      </w:r>
    </w:p>
    <w:p>
      <w:pPr>
        <w:pStyle w:val="22"/>
        <w:autoSpaceDE w:val="0"/>
        <w:autoSpaceDN w:val="0"/>
        <w:adjustRightInd w:val="0"/>
        <w:spacing w:line="440" w:lineRule="exact"/>
        <w:ind w:right="33" w:firstLine="2125" w:firstLineChars="759"/>
        <w:jc w:val="left"/>
        <w:rPr>
          <w:rFonts w:ascii="宋体" w:hAnsi="宋体"/>
          <w:kern w:val="0"/>
          <w:szCs w:val="28"/>
        </w:rPr>
      </w:pPr>
      <w:r>
        <w:rPr>
          <w:rFonts w:hint="eastAsia" w:ascii="宋体" w:hAnsi="宋体"/>
          <w:kern w:val="0"/>
          <w:szCs w:val="28"/>
        </w:rPr>
        <w:t>电</w:t>
      </w:r>
      <w:r>
        <w:rPr>
          <w:rFonts w:ascii="宋体" w:hAnsi="宋体"/>
          <w:kern w:val="0"/>
          <w:szCs w:val="28"/>
        </w:rPr>
        <w:t xml:space="preserve">    </w:t>
      </w:r>
      <w:r>
        <w:rPr>
          <w:rFonts w:hint="eastAsia" w:ascii="宋体" w:hAnsi="宋体"/>
          <w:kern w:val="0"/>
          <w:szCs w:val="28"/>
        </w:rPr>
        <w:t>话：</w:t>
      </w:r>
      <w:r>
        <w:rPr>
          <w:rFonts w:ascii="宋体" w:hAnsi="宋体"/>
          <w:kern w:val="0"/>
          <w:szCs w:val="28"/>
          <w:u w:val="single"/>
        </w:rPr>
        <w:t xml:space="preserve">                               </w:t>
      </w:r>
    </w:p>
    <w:p>
      <w:pPr>
        <w:pStyle w:val="22"/>
        <w:autoSpaceDE w:val="0"/>
        <w:autoSpaceDN w:val="0"/>
        <w:adjustRightInd w:val="0"/>
        <w:spacing w:line="440" w:lineRule="exact"/>
        <w:ind w:right="246" w:firstLine="2125" w:firstLineChars="759"/>
        <w:jc w:val="left"/>
        <w:rPr>
          <w:rFonts w:ascii="宋体" w:hAnsi="宋体"/>
          <w:kern w:val="0"/>
          <w:szCs w:val="28"/>
        </w:rPr>
      </w:pPr>
      <w:r>
        <w:rPr>
          <w:rFonts w:hint="eastAsia" w:ascii="宋体" w:hAnsi="宋体"/>
          <w:kern w:val="0"/>
          <w:szCs w:val="28"/>
        </w:rPr>
        <w:t>电子函件：</w:t>
      </w:r>
      <w:r>
        <w:rPr>
          <w:rFonts w:ascii="宋体" w:hAnsi="宋体"/>
          <w:kern w:val="0"/>
          <w:szCs w:val="28"/>
          <w:u w:val="single"/>
        </w:rPr>
        <w:t xml:space="preserve">                               </w:t>
      </w:r>
    </w:p>
    <w:p>
      <w:pPr>
        <w:pStyle w:val="22"/>
        <w:adjustRightInd w:val="0"/>
        <w:snapToGrid w:val="0"/>
        <w:spacing w:line="440" w:lineRule="exact"/>
        <w:ind w:firstLine="2125" w:firstLineChars="759"/>
        <w:jc w:val="left"/>
        <w:rPr>
          <w:rFonts w:ascii="宋体" w:hAnsi="宋体"/>
        </w:rPr>
      </w:pPr>
      <w:r>
        <w:rPr>
          <w:rFonts w:hint="eastAsia" w:ascii="宋体" w:hAnsi="宋体"/>
          <w:szCs w:val="28"/>
        </w:rPr>
        <w:t>日期：</w:t>
      </w:r>
      <w:r>
        <w:rPr>
          <w:rFonts w:ascii="宋体" w:hAnsi="宋体"/>
          <w:szCs w:val="28"/>
          <w:u w:val="single"/>
        </w:rPr>
        <w:t xml:space="preserve">                                   </w:t>
      </w:r>
    </w:p>
    <w:p>
      <w:pPr>
        <w:pStyle w:val="35"/>
        <w:jc w:val="center"/>
        <w:rPr>
          <w:rFonts w:ascii="宋体" w:hAnsi="宋体"/>
        </w:rPr>
      </w:pPr>
      <w:r>
        <w:rPr>
          <w:rFonts w:ascii="宋体" w:hAnsi="宋体"/>
        </w:rPr>
        <w:br w:type="page"/>
      </w:r>
      <w:bookmarkStart w:id="118" w:name="_Toc5974924"/>
      <w:bookmarkStart w:id="119" w:name="_Toc519362001"/>
      <w:r>
        <w:rPr>
          <w:rFonts w:hint="eastAsia" w:ascii="宋体" w:hAnsi="宋体"/>
        </w:rPr>
        <w:t>开标一览表</w:t>
      </w:r>
      <w:bookmarkEnd w:id="118"/>
      <w:bookmarkEnd w:id="119"/>
    </w:p>
    <w:p>
      <w:pPr>
        <w:pStyle w:val="22"/>
        <w:spacing w:line="500" w:lineRule="exact"/>
        <w:rPr>
          <w:rFonts w:ascii="宋体" w:hAnsi="宋体"/>
          <w:szCs w:val="28"/>
          <w:u w:val="single"/>
        </w:rPr>
      </w:pPr>
      <w:r>
        <w:rPr>
          <w:rFonts w:hint="eastAsia" w:ascii="宋体" w:hAnsi="宋体"/>
          <w:szCs w:val="28"/>
        </w:rPr>
        <w:t>采购项目编号</w:t>
      </w:r>
      <w:r>
        <w:rPr>
          <w:rFonts w:ascii="宋体" w:hAnsi="宋体"/>
          <w:szCs w:val="28"/>
        </w:rPr>
        <w:t>:</w:t>
      </w:r>
      <w:r>
        <w:rPr>
          <w:rFonts w:ascii="宋体" w:hAnsi="宋体"/>
          <w:szCs w:val="28"/>
          <w:u w:val="single"/>
        </w:rPr>
        <w:t xml:space="preserve">                 </w:t>
      </w:r>
    </w:p>
    <w:p>
      <w:pPr>
        <w:pStyle w:val="22"/>
        <w:spacing w:line="500" w:lineRule="exact"/>
        <w:rPr>
          <w:rFonts w:ascii="宋体" w:hAnsi="宋体"/>
          <w:szCs w:val="28"/>
          <w:u w:val="single"/>
        </w:rPr>
      </w:pPr>
      <w:r>
        <w:rPr>
          <w:rFonts w:hint="eastAsia" w:ascii="宋体" w:hAnsi="宋体"/>
          <w:szCs w:val="28"/>
        </w:rPr>
        <w:t>采购项目名称</w:t>
      </w:r>
      <w:r>
        <w:rPr>
          <w:rFonts w:ascii="宋体" w:hAnsi="宋体"/>
          <w:szCs w:val="28"/>
        </w:rPr>
        <w:t>:</w:t>
      </w:r>
      <w:r>
        <w:rPr>
          <w:rFonts w:ascii="宋体" w:hAnsi="宋体"/>
          <w:szCs w:val="28"/>
          <w:u w:val="single"/>
        </w:rPr>
        <w:t xml:space="preserve">                 </w:t>
      </w:r>
      <w:r>
        <w:rPr>
          <w:rFonts w:ascii="宋体" w:hAnsi="宋体"/>
          <w:szCs w:val="28"/>
        </w:rPr>
        <w:t xml:space="preserve">                  </w:t>
      </w:r>
    </w:p>
    <w:tbl>
      <w:tblPr>
        <w:tblStyle w:val="13"/>
        <w:tblW w:w="8748"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594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0" w:hRule="atLeast"/>
        </w:trPr>
        <w:tc>
          <w:tcPr>
            <w:tcW w:w="2808" w:type="dxa"/>
            <w:vAlign w:val="center"/>
          </w:tcPr>
          <w:p>
            <w:pPr>
              <w:pStyle w:val="22"/>
              <w:spacing w:line="360" w:lineRule="exact"/>
              <w:ind w:left="-38"/>
              <w:jc w:val="center"/>
              <w:rPr>
                <w:rFonts w:ascii="宋体" w:hAnsi="宋体"/>
                <w:szCs w:val="28"/>
              </w:rPr>
            </w:pPr>
            <w:r>
              <w:rPr>
                <w:rFonts w:hint="eastAsia" w:ascii="宋体" w:hAnsi="宋体"/>
                <w:szCs w:val="28"/>
              </w:rPr>
              <w:t>投标报价</w:t>
            </w:r>
          </w:p>
        </w:tc>
        <w:tc>
          <w:tcPr>
            <w:tcW w:w="5940" w:type="dxa"/>
            <w:vAlign w:val="center"/>
          </w:tcPr>
          <w:p>
            <w:pPr>
              <w:pStyle w:val="22"/>
              <w:spacing w:line="360" w:lineRule="exact"/>
              <w:rPr>
                <w:rFonts w:ascii="宋体" w:hAnsi="宋体"/>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0" w:hRule="atLeast"/>
        </w:trPr>
        <w:tc>
          <w:tcPr>
            <w:tcW w:w="2808" w:type="dxa"/>
            <w:vAlign w:val="center"/>
          </w:tcPr>
          <w:p>
            <w:pPr>
              <w:pStyle w:val="22"/>
              <w:spacing w:line="360" w:lineRule="exact"/>
              <w:ind w:left="-38"/>
              <w:jc w:val="center"/>
              <w:rPr>
                <w:rFonts w:ascii="宋体" w:hAnsi="宋体"/>
                <w:szCs w:val="28"/>
              </w:rPr>
            </w:pPr>
            <w:r>
              <w:rPr>
                <w:rFonts w:hint="eastAsia" w:ascii="宋体" w:hAnsi="宋体"/>
                <w:szCs w:val="28"/>
              </w:rPr>
              <w:t>交货期</w:t>
            </w:r>
          </w:p>
        </w:tc>
        <w:tc>
          <w:tcPr>
            <w:tcW w:w="5940" w:type="dxa"/>
            <w:vAlign w:val="center"/>
          </w:tcPr>
          <w:p>
            <w:pPr>
              <w:pStyle w:val="22"/>
              <w:spacing w:line="360" w:lineRule="exact"/>
              <w:ind w:left="-38"/>
              <w:rPr>
                <w:rFonts w:ascii="宋体" w:hAnsi="宋体"/>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0" w:hRule="atLeast"/>
        </w:trPr>
        <w:tc>
          <w:tcPr>
            <w:tcW w:w="2808" w:type="dxa"/>
            <w:vAlign w:val="center"/>
          </w:tcPr>
          <w:p>
            <w:pPr>
              <w:pStyle w:val="22"/>
              <w:spacing w:line="360" w:lineRule="exact"/>
              <w:ind w:left="-38"/>
              <w:jc w:val="center"/>
              <w:rPr>
                <w:rFonts w:ascii="宋体" w:hAnsi="宋体"/>
                <w:szCs w:val="28"/>
              </w:rPr>
            </w:pPr>
            <w:r>
              <w:rPr>
                <w:rFonts w:hint="eastAsia" w:ascii="宋体" w:hAnsi="宋体"/>
              </w:rPr>
              <w:t>交货地点</w:t>
            </w:r>
          </w:p>
        </w:tc>
        <w:tc>
          <w:tcPr>
            <w:tcW w:w="5940" w:type="dxa"/>
            <w:vAlign w:val="center"/>
          </w:tcPr>
          <w:p>
            <w:pPr>
              <w:pStyle w:val="22"/>
              <w:spacing w:line="360" w:lineRule="exact"/>
              <w:ind w:left="-38"/>
              <w:rPr>
                <w:rFonts w:ascii="宋体" w:hAnsi="宋体"/>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0" w:hRule="atLeast"/>
        </w:trPr>
        <w:tc>
          <w:tcPr>
            <w:tcW w:w="2808" w:type="dxa"/>
            <w:vAlign w:val="center"/>
          </w:tcPr>
          <w:p>
            <w:pPr>
              <w:pStyle w:val="22"/>
              <w:spacing w:line="360" w:lineRule="exact"/>
              <w:ind w:left="-38"/>
              <w:jc w:val="center"/>
              <w:rPr>
                <w:rFonts w:ascii="宋体" w:hAnsi="宋体"/>
                <w:szCs w:val="28"/>
              </w:rPr>
            </w:pPr>
            <w:r>
              <w:rPr>
                <w:rFonts w:hint="eastAsia" w:ascii="宋体" w:hAnsi="宋体"/>
              </w:rPr>
              <w:t>质保期</w:t>
            </w:r>
          </w:p>
        </w:tc>
        <w:tc>
          <w:tcPr>
            <w:tcW w:w="5940" w:type="dxa"/>
            <w:vAlign w:val="center"/>
          </w:tcPr>
          <w:p>
            <w:pPr>
              <w:pStyle w:val="22"/>
              <w:spacing w:line="360" w:lineRule="exact"/>
              <w:ind w:left="-38"/>
              <w:rPr>
                <w:rFonts w:ascii="宋体" w:hAnsi="宋体"/>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0" w:hRule="atLeast"/>
        </w:trPr>
        <w:tc>
          <w:tcPr>
            <w:tcW w:w="2808" w:type="dxa"/>
            <w:vAlign w:val="center"/>
          </w:tcPr>
          <w:p>
            <w:pPr>
              <w:pStyle w:val="22"/>
              <w:spacing w:line="360" w:lineRule="exact"/>
              <w:ind w:left="-38"/>
              <w:jc w:val="center"/>
              <w:rPr>
                <w:rFonts w:ascii="宋体" w:hAnsi="宋体"/>
                <w:szCs w:val="28"/>
              </w:rPr>
            </w:pPr>
            <w:r>
              <w:rPr>
                <w:rFonts w:hint="eastAsia" w:ascii="宋体" w:hAnsi="宋体"/>
                <w:szCs w:val="28"/>
              </w:rPr>
              <w:t>质量承诺</w:t>
            </w:r>
          </w:p>
        </w:tc>
        <w:tc>
          <w:tcPr>
            <w:tcW w:w="5940" w:type="dxa"/>
            <w:vAlign w:val="center"/>
          </w:tcPr>
          <w:p>
            <w:pPr>
              <w:pStyle w:val="22"/>
              <w:spacing w:line="360" w:lineRule="exact"/>
              <w:ind w:left="-38"/>
              <w:rPr>
                <w:rFonts w:ascii="宋体" w:hAnsi="宋体"/>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0" w:hRule="atLeast"/>
        </w:trPr>
        <w:tc>
          <w:tcPr>
            <w:tcW w:w="2808" w:type="dxa"/>
            <w:vAlign w:val="center"/>
          </w:tcPr>
          <w:p>
            <w:pPr>
              <w:pStyle w:val="22"/>
              <w:spacing w:line="360" w:lineRule="exact"/>
              <w:ind w:left="-38"/>
              <w:jc w:val="center"/>
              <w:rPr>
                <w:rFonts w:ascii="宋体" w:hAnsi="宋体"/>
                <w:szCs w:val="28"/>
              </w:rPr>
            </w:pPr>
            <w:r>
              <w:rPr>
                <w:rFonts w:hint="eastAsia" w:ascii="宋体" w:hAnsi="宋体"/>
                <w:szCs w:val="28"/>
              </w:rPr>
              <w:t>其他</w:t>
            </w:r>
          </w:p>
        </w:tc>
        <w:tc>
          <w:tcPr>
            <w:tcW w:w="5940" w:type="dxa"/>
            <w:vAlign w:val="center"/>
          </w:tcPr>
          <w:p>
            <w:pPr>
              <w:pStyle w:val="22"/>
              <w:spacing w:line="360" w:lineRule="exact"/>
              <w:ind w:left="-38"/>
              <w:rPr>
                <w:rFonts w:ascii="宋体" w:hAnsi="宋体"/>
                <w:szCs w:val="28"/>
              </w:rPr>
            </w:pPr>
          </w:p>
        </w:tc>
      </w:tr>
    </w:tbl>
    <w:p>
      <w:pPr>
        <w:pStyle w:val="22"/>
        <w:spacing w:line="500" w:lineRule="exact"/>
        <w:rPr>
          <w:rFonts w:ascii="宋体" w:hAnsi="宋体"/>
          <w:szCs w:val="28"/>
        </w:rPr>
      </w:pPr>
      <w:r>
        <w:rPr>
          <w:rFonts w:hint="eastAsia" w:ascii="宋体" w:hAnsi="宋体"/>
          <w:szCs w:val="28"/>
        </w:rPr>
        <w:t>注：</w:t>
      </w:r>
      <w:r>
        <w:rPr>
          <w:rFonts w:ascii="宋体" w:hAnsi="宋体"/>
          <w:szCs w:val="28"/>
        </w:rPr>
        <w:t>1、所有价格均用人民币表示。</w:t>
      </w:r>
    </w:p>
    <w:p>
      <w:pPr>
        <w:pStyle w:val="22"/>
        <w:spacing w:line="500" w:lineRule="exact"/>
        <w:rPr>
          <w:rFonts w:ascii="宋体" w:hAnsi="宋体"/>
          <w:szCs w:val="28"/>
        </w:rPr>
      </w:pPr>
      <w:r>
        <w:rPr>
          <w:rFonts w:ascii="宋体" w:hAnsi="宋体"/>
          <w:szCs w:val="28"/>
        </w:rPr>
        <w:t xml:space="preserve">    2、本项目投标</w:t>
      </w:r>
      <w:r>
        <w:rPr>
          <w:rFonts w:hint="eastAsia" w:ascii="宋体" w:hAnsi="宋体"/>
          <w:szCs w:val="28"/>
        </w:rPr>
        <w:t>报价应包含人工、材料、设备、管线预埋、售后服务保障、风险费、税金、设备集成和软件联调费用、利润等完成第三章采购需求相关内容的各种应有费用。</w:t>
      </w:r>
    </w:p>
    <w:p>
      <w:pPr>
        <w:pStyle w:val="32"/>
        <w:spacing w:line="500" w:lineRule="exact"/>
        <w:rPr>
          <w:rFonts w:hAnsi="宋体"/>
          <w:sz w:val="28"/>
          <w:szCs w:val="28"/>
        </w:rPr>
      </w:pPr>
    </w:p>
    <w:p>
      <w:pPr>
        <w:pStyle w:val="32"/>
        <w:spacing w:line="500" w:lineRule="exact"/>
        <w:ind w:firstLine="720"/>
        <w:rPr>
          <w:rFonts w:hAnsi="宋体"/>
          <w:sz w:val="28"/>
          <w:szCs w:val="28"/>
          <w:u w:val="single"/>
        </w:rPr>
      </w:pPr>
      <w:r>
        <w:rPr>
          <w:rFonts w:hint="eastAsia" w:hAnsi="宋体"/>
          <w:sz w:val="28"/>
          <w:szCs w:val="28"/>
        </w:rPr>
        <w:t>投标人名称（签章）：</w:t>
      </w:r>
      <w:r>
        <w:rPr>
          <w:rFonts w:hAnsi="宋体"/>
          <w:sz w:val="28"/>
          <w:szCs w:val="28"/>
          <w:u w:val="single"/>
        </w:rPr>
        <w:t xml:space="preserve">              </w:t>
      </w:r>
    </w:p>
    <w:p>
      <w:pPr>
        <w:pStyle w:val="32"/>
        <w:spacing w:line="500" w:lineRule="exact"/>
        <w:ind w:firstLine="708" w:firstLineChars="253"/>
        <w:rPr>
          <w:rFonts w:hAnsi="宋体"/>
          <w:sz w:val="28"/>
          <w:szCs w:val="28"/>
          <w:u w:val="single"/>
        </w:rPr>
      </w:pPr>
      <w:r>
        <w:rPr>
          <w:rFonts w:hint="eastAsia" w:hAnsi="宋体"/>
          <w:sz w:val="28"/>
          <w:szCs w:val="28"/>
        </w:rPr>
        <w:t>法定代表人（签章）</w:t>
      </w:r>
      <w:r>
        <w:rPr>
          <w:rFonts w:hAnsi="宋体"/>
          <w:sz w:val="28"/>
          <w:szCs w:val="28"/>
        </w:rPr>
        <w:t>:</w:t>
      </w:r>
      <w:r>
        <w:rPr>
          <w:rFonts w:hAnsi="宋体"/>
          <w:sz w:val="28"/>
          <w:szCs w:val="28"/>
          <w:u w:val="single"/>
        </w:rPr>
        <w:t xml:space="preserve">                   </w:t>
      </w:r>
    </w:p>
    <w:p>
      <w:pPr>
        <w:pStyle w:val="35"/>
        <w:ind w:firstLine="784" w:firstLineChars="245"/>
        <w:rPr>
          <w:rFonts w:ascii="宋体" w:hAnsi="宋体"/>
          <w:b w:val="0"/>
        </w:rPr>
      </w:pPr>
      <w:bookmarkStart w:id="120" w:name="_Toc519362002"/>
      <w:bookmarkStart w:id="121" w:name="_Toc5974925"/>
      <w:r>
        <w:rPr>
          <w:rFonts w:hint="eastAsia" w:ascii="宋体" w:hAnsi="宋体"/>
          <w:b w:val="0"/>
        </w:rPr>
        <w:t>日</w:t>
      </w:r>
      <w:r>
        <w:rPr>
          <w:rFonts w:ascii="宋体" w:hAnsi="宋体"/>
          <w:b w:val="0"/>
        </w:rPr>
        <w:t xml:space="preserve">      </w:t>
      </w:r>
      <w:r>
        <w:rPr>
          <w:rFonts w:hint="eastAsia" w:ascii="宋体" w:hAnsi="宋体"/>
          <w:b w:val="0"/>
        </w:rPr>
        <w:t>期：</w:t>
      </w:r>
      <w:r>
        <w:rPr>
          <w:rFonts w:ascii="宋体" w:hAnsi="宋体"/>
          <w:b w:val="0"/>
          <w:u w:val="single"/>
        </w:rPr>
        <w:t xml:space="preserve">        </w:t>
      </w:r>
      <w:r>
        <w:rPr>
          <w:rFonts w:hint="eastAsia" w:ascii="宋体" w:hAnsi="宋体"/>
          <w:b w:val="0"/>
        </w:rPr>
        <w:t>年</w:t>
      </w:r>
      <w:r>
        <w:rPr>
          <w:rFonts w:ascii="宋体" w:hAnsi="宋体"/>
          <w:b w:val="0"/>
          <w:u w:val="single"/>
        </w:rPr>
        <w:t xml:space="preserve">       </w:t>
      </w:r>
      <w:r>
        <w:rPr>
          <w:rFonts w:hint="eastAsia" w:ascii="宋体" w:hAnsi="宋体"/>
          <w:b w:val="0"/>
        </w:rPr>
        <w:t>月</w:t>
      </w:r>
      <w:r>
        <w:rPr>
          <w:rFonts w:ascii="宋体" w:hAnsi="宋体"/>
          <w:b w:val="0"/>
          <w:u w:val="single"/>
        </w:rPr>
        <w:t xml:space="preserve">      </w:t>
      </w:r>
      <w:r>
        <w:rPr>
          <w:rFonts w:hint="eastAsia" w:ascii="宋体" w:hAnsi="宋体"/>
          <w:b w:val="0"/>
        </w:rPr>
        <w:t>日</w:t>
      </w:r>
      <w:bookmarkEnd w:id="120"/>
      <w:bookmarkEnd w:id="121"/>
    </w:p>
    <w:p>
      <w:pPr>
        <w:pStyle w:val="35"/>
        <w:jc w:val="center"/>
        <w:rPr>
          <w:rFonts w:ascii="宋体" w:hAnsi="宋体"/>
        </w:rPr>
      </w:pPr>
      <w:r>
        <w:rPr>
          <w:rFonts w:ascii="宋体" w:hAnsi="宋体"/>
        </w:rPr>
        <w:br w:type="page"/>
      </w:r>
      <w:bookmarkStart w:id="122" w:name="_Toc5974926"/>
      <w:bookmarkStart w:id="123" w:name="_Toc519362003"/>
      <w:r>
        <w:rPr>
          <w:rFonts w:hint="eastAsia" w:ascii="宋体" w:hAnsi="宋体"/>
        </w:rPr>
        <w:t>投标报价明细表</w:t>
      </w:r>
      <w:bookmarkEnd w:id="122"/>
      <w:bookmarkEnd w:id="123"/>
    </w:p>
    <w:p>
      <w:pPr>
        <w:pStyle w:val="22"/>
        <w:adjustRightInd w:val="0"/>
        <w:snapToGrid w:val="0"/>
        <w:spacing w:line="500" w:lineRule="exact"/>
        <w:rPr>
          <w:rFonts w:ascii="宋体" w:hAnsi="宋体"/>
          <w:szCs w:val="28"/>
        </w:rPr>
      </w:pPr>
      <w:r>
        <w:rPr>
          <w:rFonts w:hint="eastAsia" w:ascii="宋体" w:hAnsi="宋体"/>
          <w:szCs w:val="28"/>
        </w:rPr>
        <w:t>采购项目编号：</w:t>
      </w:r>
      <w:r>
        <w:rPr>
          <w:rFonts w:ascii="宋体" w:hAnsi="宋体"/>
          <w:szCs w:val="28"/>
          <w:u w:val="single"/>
        </w:rPr>
        <w:t xml:space="preserve">                          </w:t>
      </w:r>
      <w:r>
        <w:rPr>
          <w:rFonts w:ascii="宋体" w:hAnsi="宋体"/>
          <w:szCs w:val="28"/>
        </w:rPr>
        <w:t xml:space="preserve">         </w:t>
      </w:r>
    </w:p>
    <w:p>
      <w:pPr>
        <w:pStyle w:val="22"/>
        <w:adjustRightInd w:val="0"/>
        <w:snapToGrid w:val="0"/>
        <w:spacing w:line="500" w:lineRule="exact"/>
        <w:rPr>
          <w:rFonts w:ascii="宋体" w:hAnsi="宋体"/>
          <w:szCs w:val="28"/>
          <w:u w:val="single"/>
        </w:rPr>
      </w:pPr>
      <w:r>
        <w:rPr>
          <w:rFonts w:hint="eastAsia" w:ascii="宋体" w:hAnsi="宋体"/>
          <w:szCs w:val="28"/>
        </w:rPr>
        <w:t>采购项目名称：</w:t>
      </w:r>
      <w:r>
        <w:rPr>
          <w:rFonts w:ascii="宋体" w:hAnsi="宋体"/>
          <w:szCs w:val="28"/>
          <w:u w:val="single"/>
        </w:rPr>
        <w:t xml:space="preserve">                        </w:t>
      </w:r>
    </w:p>
    <w:tbl>
      <w:tblPr>
        <w:tblStyle w:val="13"/>
        <w:tblW w:w="9186"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89"/>
        <w:gridCol w:w="2111"/>
        <w:gridCol w:w="1764"/>
        <w:gridCol w:w="2697"/>
        <w:gridCol w:w="1036"/>
        <w:gridCol w:w="108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1" w:hRule="atLeast"/>
          <w:jc w:val="center"/>
        </w:trPr>
        <w:tc>
          <w:tcPr>
            <w:tcW w:w="489" w:type="dxa"/>
            <w:tcBorders>
              <w:top w:val="single" w:color="auto" w:sz="4" w:space="0"/>
              <w:left w:val="single" w:color="auto" w:sz="4"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r>
              <w:rPr>
                <w:rFonts w:hint="eastAsia" w:ascii="宋体" w:hAnsi="宋体"/>
                <w:szCs w:val="28"/>
              </w:rPr>
              <w:t>序号</w:t>
            </w:r>
          </w:p>
        </w:tc>
        <w:tc>
          <w:tcPr>
            <w:tcW w:w="2111" w:type="dxa"/>
            <w:tcBorders>
              <w:top w:val="single" w:color="auto" w:sz="4" w:space="0"/>
              <w:left w:val="single" w:color="auto" w:sz="6"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r>
              <w:rPr>
                <w:rFonts w:hint="eastAsia" w:ascii="宋体" w:hAnsi="宋体"/>
                <w:szCs w:val="28"/>
              </w:rPr>
              <w:t>服务</w:t>
            </w:r>
            <w:r>
              <w:rPr>
                <w:rFonts w:ascii="宋体" w:hAnsi="宋体"/>
                <w:szCs w:val="28"/>
              </w:rPr>
              <w:t>/货物名称</w:t>
            </w:r>
          </w:p>
        </w:tc>
        <w:tc>
          <w:tcPr>
            <w:tcW w:w="1764" w:type="dxa"/>
            <w:tcBorders>
              <w:top w:val="single" w:color="auto" w:sz="4"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r>
              <w:rPr>
                <w:rFonts w:hint="eastAsia" w:ascii="宋体" w:hAnsi="宋体"/>
                <w:szCs w:val="28"/>
              </w:rPr>
              <w:t>型号和规格</w:t>
            </w:r>
          </w:p>
        </w:tc>
        <w:tc>
          <w:tcPr>
            <w:tcW w:w="2697" w:type="dxa"/>
            <w:tcBorders>
              <w:top w:val="single" w:color="auto" w:sz="4"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r>
              <w:rPr>
                <w:rFonts w:hint="eastAsia" w:ascii="宋体" w:hAnsi="宋体"/>
                <w:szCs w:val="28"/>
              </w:rPr>
              <w:t>制造商名称国别</w:t>
            </w:r>
            <w:r>
              <w:rPr>
                <w:rFonts w:ascii="宋体" w:hAnsi="宋体"/>
                <w:szCs w:val="28"/>
              </w:rPr>
              <w:t>/地区</w:t>
            </w:r>
          </w:p>
        </w:tc>
        <w:tc>
          <w:tcPr>
            <w:tcW w:w="1036" w:type="dxa"/>
            <w:tcBorders>
              <w:top w:val="single" w:color="auto" w:sz="4"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r>
              <w:rPr>
                <w:rFonts w:hint="eastAsia" w:ascii="宋体" w:hAnsi="宋体"/>
                <w:szCs w:val="28"/>
              </w:rPr>
              <w:t>单位</w:t>
            </w:r>
          </w:p>
        </w:tc>
        <w:tc>
          <w:tcPr>
            <w:tcW w:w="1089" w:type="dxa"/>
            <w:tcBorders>
              <w:top w:val="single" w:color="auto" w:sz="4"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r>
              <w:rPr>
                <w:rFonts w:hint="eastAsia" w:ascii="宋体" w:hAnsi="宋体"/>
                <w:szCs w:val="28"/>
              </w:rPr>
              <w:t>单价</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1" w:hRule="atLeast"/>
          <w:jc w:val="center"/>
        </w:trPr>
        <w:tc>
          <w:tcPr>
            <w:tcW w:w="489" w:type="dxa"/>
            <w:tcBorders>
              <w:top w:val="single" w:color="auto" w:sz="6" w:space="0"/>
              <w:left w:val="single" w:color="auto" w:sz="4"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r>
              <w:rPr>
                <w:rFonts w:ascii="宋体" w:hAnsi="宋体"/>
                <w:szCs w:val="28"/>
              </w:rPr>
              <w:t>1</w:t>
            </w:r>
          </w:p>
        </w:tc>
        <w:tc>
          <w:tcPr>
            <w:tcW w:w="2111"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p>
        </w:tc>
        <w:tc>
          <w:tcPr>
            <w:tcW w:w="1764"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2697"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036"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089"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1" w:hRule="atLeast"/>
          <w:jc w:val="center"/>
        </w:trPr>
        <w:tc>
          <w:tcPr>
            <w:tcW w:w="489" w:type="dxa"/>
            <w:tcBorders>
              <w:top w:val="single" w:color="auto" w:sz="6" w:space="0"/>
              <w:left w:val="single" w:color="auto" w:sz="4"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r>
              <w:rPr>
                <w:rFonts w:ascii="宋体" w:hAnsi="宋体"/>
                <w:szCs w:val="28"/>
              </w:rPr>
              <w:t>2</w:t>
            </w:r>
          </w:p>
        </w:tc>
        <w:tc>
          <w:tcPr>
            <w:tcW w:w="2111"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p>
        </w:tc>
        <w:tc>
          <w:tcPr>
            <w:tcW w:w="1764"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2697"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036"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089"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1" w:hRule="atLeast"/>
          <w:jc w:val="center"/>
        </w:trPr>
        <w:tc>
          <w:tcPr>
            <w:tcW w:w="489" w:type="dxa"/>
            <w:tcBorders>
              <w:top w:val="single" w:color="auto" w:sz="6" w:space="0"/>
              <w:left w:val="single" w:color="auto" w:sz="4"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r>
              <w:rPr>
                <w:rFonts w:ascii="宋体" w:hAnsi="宋体"/>
                <w:szCs w:val="28"/>
              </w:rPr>
              <w:t>3</w:t>
            </w:r>
          </w:p>
        </w:tc>
        <w:tc>
          <w:tcPr>
            <w:tcW w:w="2111"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p>
        </w:tc>
        <w:tc>
          <w:tcPr>
            <w:tcW w:w="1764"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2697"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036"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089"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2" w:hRule="atLeast"/>
          <w:jc w:val="center"/>
        </w:trPr>
        <w:tc>
          <w:tcPr>
            <w:tcW w:w="489" w:type="dxa"/>
            <w:tcBorders>
              <w:top w:val="single" w:color="auto" w:sz="6" w:space="0"/>
              <w:left w:val="single" w:color="auto" w:sz="4"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r>
              <w:rPr>
                <w:rFonts w:ascii="宋体" w:hAnsi="宋体"/>
              </w:rPr>
              <w:t>4</w:t>
            </w:r>
          </w:p>
        </w:tc>
        <w:tc>
          <w:tcPr>
            <w:tcW w:w="2111"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p>
        </w:tc>
        <w:tc>
          <w:tcPr>
            <w:tcW w:w="1764"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2697"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036"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089"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2" w:hRule="atLeast"/>
          <w:jc w:val="center"/>
        </w:trPr>
        <w:tc>
          <w:tcPr>
            <w:tcW w:w="489" w:type="dxa"/>
            <w:tcBorders>
              <w:top w:val="single" w:color="auto" w:sz="6" w:space="0"/>
              <w:left w:val="single" w:color="auto" w:sz="4"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rPr>
            </w:pPr>
            <w:r>
              <w:rPr>
                <w:rFonts w:hint="eastAsia" w:ascii="宋体" w:hAnsi="宋体"/>
              </w:rPr>
              <w:t>5</w:t>
            </w:r>
          </w:p>
        </w:tc>
        <w:tc>
          <w:tcPr>
            <w:tcW w:w="2111"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p>
        </w:tc>
        <w:tc>
          <w:tcPr>
            <w:tcW w:w="1764"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2697"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036"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089"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2" w:hRule="atLeast"/>
          <w:jc w:val="center"/>
        </w:trPr>
        <w:tc>
          <w:tcPr>
            <w:tcW w:w="489" w:type="dxa"/>
            <w:tcBorders>
              <w:top w:val="single" w:color="auto" w:sz="6" w:space="0"/>
              <w:left w:val="single" w:color="auto" w:sz="4"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rPr>
            </w:pPr>
            <w:r>
              <w:rPr>
                <w:rFonts w:hint="eastAsia" w:ascii="宋体" w:hAnsi="宋体"/>
              </w:rPr>
              <w:t>…</w:t>
            </w:r>
          </w:p>
        </w:tc>
        <w:tc>
          <w:tcPr>
            <w:tcW w:w="2111"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p>
        </w:tc>
        <w:tc>
          <w:tcPr>
            <w:tcW w:w="1764"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2697"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036"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089"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2" w:hRule="atLeast"/>
          <w:jc w:val="center"/>
        </w:trPr>
        <w:tc>
          <w:tcPr>
            <w:tcW w:w="8097" w:type="dxa"/>
            <w:gridSpan w:val="5"/>
            <w:tcBorders>
              <w:top w:val="single" w:color="auto" w:sz="6" w:space="0"/>
              <w:left w:val="single" w:color="auto" w:sz="4"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r>
              <w:rPr>
                <w:rFonts w:ascii="宋体" w:hAnsi="宋体"/>
                <w:szCs w:val="28"/>
              </w:rPr>
              <w:t>税费</w:t>
            </w:r>
            <w:r>
              <w:rPr>
                <w:rFonts w:hint="eastAsia" w:ascii="宋体" w:hAnsi="宋体"/>
                <w:szCs w:val="28"/>
              </w:rPr>
              <w:t>（软硬件）</w:t>
            </w:r>
          </w:p>
        </w:tc>
        <w:tc>
          <w:tcPr>
            <w:tcW w:w="1089"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2" w:hRule="atLeast"/>
          <w:jc w:val="center"/>
        </w:trPr>
        <w:tc>
          <w:tcPr>
            <w:tcW w:w="8097" w:type="dxa"/>
            <w:gridSpan w:val="5"/>
            <w:tcBorders>
              <w:top w:val="single" w:color="auto" w:sz="6" w:space="0"/>
              <w:left w:val="single" w:color="auto" w:sz="4"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r>
              <w:rPr>
                <w:rFonts w:hint="eastAsia" w:ascii="宋体" w:hAnsi="宋体"/>
                <w:szCs w:val="28"/>
              </w:rPr>
              <w:t>税费（施工）</w:t>
            </w:r>
          </w:p>
        </w:tc>
        <w:tc>
          <w:tcPr>
            <w:tcW w:w="1089"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2" w:hRule="atLeast"/>
          <w:jc w:val="center"/>
        </w:trPr>
        <w:tc>
          <w:tcPr>
            <w:tcW w:w="8097" w:type="dxa"/>
            <w:gridSpan w:val="5"/>
            <w:tcBorders>
              <w:top w:val="single" w:color="auto" w:sz="6" w:space="0"/>
              <w:left w:val="single" w:color="auto" w:sz="4"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r>
              <w:rPr>
                <w:rFonts w:hint="eastAsia" w:ascii="宋体" w:hAnsi="宋体"/>
                <w:szCs w:val="28"/>
              </w:rPr>
              <w:t>设备集成、软件联调费用</w:t>
            </w:r>
          </w:p>
        </w:tc>
        <w:tc>
          <w:tcPr>
            <w:tcW w:w="1089"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2" w:hRule="atLeast"/>
          <w:jc w:val="center"/>
        </w:trPr>
        <w:tc>
          <w:tcPr>
            <w:tcW w:w="8097" w:type="dxa"/>
            <w:gridSpan w:val="5"/>
            <w:tcBorders>
              <w:top w:val="single" w:color="auto" w:sz="6" w:space="0"/>
              <w:left w:val="single" w:color="auto" w:sz="4"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r>
              <w:rPr>
                <w:rFonts w:hint="eastAsia" w:ascii="宋体" w:hAnsi="宋体"/>
                <w:szCs w:val="28"/>
              </w:rPr>
              <w:t>总价</w:t>
            </w:r>
          </w:p>
        </w:tc>
        <w:tc>
          <w:tcPr>
            <w:tcW w:w="1089"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r>
    </w:tbl>
    <w:p>
      <w:pPr>
        <w:adjustRightInd w:val="0"/>
        <w:snapToGrid w:val="0"/>
        <w:ind w:left="360"/>
        <w:rPr>
          <w:rFonts w:ascii="宋体" w:hAnsi="宋体" w:cs="宋体"/>
          <w:sz w:val="24"/>
        </w:rPr>
      </w:pPr>
    </w:p>
    <w:p>
      <w:pPr>
        <w:pStyle w:val="22"/>
        <w:adjustRightInd w:val="0"/>
        <w:snapToGrid w:val="0"/>
        <w:ind w:left="-88" w:leftChars="-42"/>
        <w:rPr>
          <w:rFonts w:ascii="宋体" w:hAnsi="宋体"/>
          <w:szCs w:val="28"/>
        </w:rPr>
      </w:pPr>
    </w:p>
    <w:p>
      <w:pPr>
        <w:pStyle w:val="22"/>
        <w:adjustRightInd w:val="0"/>
        <w:snapToGrid w:val="0"/>
        <w:spacing w:line="360" w:lineRule="auto"/>
        <w:ind w:left="-88" w:leftChars="-42"/>
        <w:rPr>
          <w:rFonts w:ascii="宋体" w:hAnsi="宋体" w:cs="宋体"/>
          <w:sz w:val="24"/>
        </w:rPr>
      </w:pPr>
      <w:r>
        <w:rPr>
          <w:rFonts w:hint="eastAsia" w:ascii="宋体" w:hAnsi="宋体" w:cs="宋体"/>
          <w:sz w:val="24"/>
        </w:rPr>
        <w:t>说明：</w:t>
      </w:r>
      <w:r>
        <w:rPr>
          <w:rFonts w:ascii="宋体" w:hAnsi="宋体" w:cs="宋体"/>
          <w:sz w:val="24"/>
        </w:rPr>
        <w:t>1.所有价格均用人民币表示，单位为元，精确到小数点后二位数。</w:t>
      </w:r>
    </w:p>
    <w:p>
      <w:pPr>
        <w:pStyle w:val="22"/>
        <w:adjustRightInd w:val="0"/>
        <w:snapToGrid w:val="0"/>
        <w:spacing w:line="360" w:lineRule="auto"/>
        <w:ind w:left="-88" w:leftChars="-42" w:firstLine="720" w:firstLineChars="300"/>
        <w:rPr>
          <w:rFonts w:ascii="宋体" w:hAnsi="宋体" w:cs="宋体"/>
          <w:sz w:val="24"/>
        </w:rPr>
      </w:pPr>
      <w:r>
        <w:rPr>
          <w:rFonts w:ascii="宋体" w:hAnsi="宋体" w:cs="宋体"/>
          <w:sz w:val="24"/>
        </w:rPr>
        <w:t>2.分项报价总计价格必须与《开标一览表》报价一致。</w:t>
      </w:r>
    </w:p>
    <w:p>
      <w:pPr>
        <w:pStyle w:val="22"/>
        <w:adjustRightInd w:val="0"/>
        <w:snapToGrid w:val="0"/>
        <w:spacing w:line="360" w:lineRule="auto"/>
        <w:ind w:left="830" w:leftChars="262" w:hanging="280" w:hangingChars="117"/>
        <w:rPr>
          <w:rFonts w:ascii="宋体" w:hAnsi="宋体" w:cs="宋体"/>
          <w:sz w:val="24"/>
        </w:rPr>
      </w:pPr>
      <w:r>
        <w:rPr>
          <w:rFonts w:ascii="宋体" w:hAnsi="宋体" w:cs="宋体"/>
          <w:sz w:val="24"/>
        </w:rPr>
        <w:t>3.如果不提供详细的投标分项报价表将被视为没有实质性响应招标文件。</w:t>
      </w:r>
    </w:p>
    <w:p>
      <w:pPr>
        <w:pStyle w:val="22"/>
        <w:adjustRightInd w:val="0"/>
        <w:snapToGrid w:val="0"/>
        <w:spacing w:line="360" w:lineRule="auto"/>
        <w:ind w:left="-88" w:leftChars="-42"/>
        <w:rPr>
          <w:rFonts w:ascii="宋体" w:hAnsi="宋体" w:cs="宋体"/>
          <w:sz w:val="24"/>
        </w:rPr>
      </w:pPr>
      <w:r>
        <w:rPr>
          <w:rFonts w:ascii="宋体" w:hAnsi="宋体" w:cs="宋体"/>
          <w:sz w:val="24"/>
        </w:rPr>
        <w:t>4.投标人必须按此表格式中的对应栏目内容填写，若需增加栏目，请在栏目“其它”中填写，并作详细说明。</w:t>
      </w:r>
    </w:p>
    <w:p>
      <w:pPr>
        <w:pStyle w:val="22"/>
        <w:adjustRightInd w:val="0"/>
        <w:snapToGrid w:val="0"/>
        <w:spacing w:line="500" w:lineRule="exact"/>
        <w:ind w:firstLine="2800" w:firstLineChars="1000"/>
        <w:rPr>
          <w:rFonts w:ascii="宋体" w:hAnsi="宋体"/>
          <w:szCs w:val="28"/>
          <w:u w:val="single"/>
        </w:rPr>
      </w:pPr>
      <w:r>
        <w:rPr>
          <w:rFonts w:hint="eastAsia" w:ascii="宋体" w:hAnsi="宋体"/>
          <w:szCs w:val="28"/>
        </w:rPr>
        <w:t>投标人名称（签章）：</w:t>
      </w:r>
      <w:r>
        <w:rPr>
          <w:rFonts w:ascii="宋体" w:hAnsi="宋体"/>
          <w:szCs w:val="28"/>
          <w:u w:val="single"/>
        </w:rPr>
        <w:t xml:space="preserve">                        </w:t>
      </w:r>
    </w:p>
    <w:p>
      <w:pPr>
        <w:pStyle w:val="22"/>
        <w:adjustRightInd w:val="0"/>
        <w:snapToGrid w:val="0"/>
        <w:spacing w:line="500" w:lineRule="exact"/>
        <w:ind w:firstLine="2800" w:firstLineChars="1000"/>
        <w:rPr>
          <w:rFonts w:ascii="宋体" w:hAnsi="宋体"/>
          <w:szCs w:val="28"/>
        </w:rPr>
      </w:pPr>
      <w:r>
        <w:rPr>
          <w:rFonts w:hint="eastAsia" w:ascii="宋体" w:hAnsi="宋体"/>
          <w:szCs w:val="28"/>
        </w:rPr>
        <w:t>投标人法定代表人（签章）：</w:t>
      </w:r>
      <w:r>
        <w:rPr>
          <w:rFonts w:ascii="宋体" w:hAnsi="宋体"/>
          <w:szCs w:val="28"/>
          <w:u w:val="single"/>
        </w:rPr>
        <w:t xml:space="preserve">                  </w:t>
      </w:r>
    </w:p>
    <w:p>
      <w:pPr>
        <w:pStyle w:val="22"/>
        <w:adjustRightInd w:val="0"/>
        <w:snapToGrid w:val="0"/>
        <w:spacing w:line="500" w:lineRule="exact"/>
        <w:ind w:firstLine="2800" w:firstLineChars="1000"/>
        <w:rPr>
          <w:rFonts w:ascii="宋体" w:hAnsi="宋体"/>
          <w:szCs w:val="28"/>
          <w:u w:val="single"/>
        </w:rPr>
      </w:pPr>
      <w:r>
        <w:rPr>
          <w:rFonts w:hint="eastAsia" w:ascii="宋体" w:hAnsi="宋体"/>
          <w:szCs w:val="28"/>
        </w:rPr>
        <w:t>日期：</w:t>
      </w:r>
      <w:r>
        <w:rPr>
          <w:rFonts w:ascii="宋体" w:hAnsi="宋体"/>
          <w:szCs w:val="28"/>
          <w:u w:val="single"/>
        </w:rPr>
        <w:t xml:space="preserve">          </w:t>
      </w:r>
      <w:r>
        <w:rPr>
          <w:rFonts w:hint="eastAsia" w:ascii="宋体" w:hAnsi="宋体"/>
          <w:szCs w:val="28"/>
        </w:rPr>
        <w:t>年</w:t>
      </w:r>
      <w:r>
        <w:rPr>
          <w:rFonts w:ascii="宋体" w:hAnsi="宋体"/>
          <w:szCs w:val="28"/>
          <w:u w:val="single"/>
        </w:rPr>
        <w:t xml:space="preserve">     </w:t>
      </w:r>
      <w:r>
        <w:rPr>
          <w:rFonts w:ascii="宋体" w:hAnsi="宋体"/>
          <w:szCs w:val="28"/>
        </w:rPr>
        <w:t xml:space="preserve"> 月</w:t>
      </w:r>
      <w:r>
        <w:rPr>
          <w:rFonts w:ascii="宋体" w:hAnsi="宋体"/>
          <w:szCs w:val="28"/>
          <w:u w:val="single"/>
        </w:rPr>
        <w:t xml:space="preserve">    </w:t>
      </w:r>
      <w:r>
        <w:rPr>
          <w:rFonts w:ascii="宋体" w:hAnsi="宋体"/>
          <w:szCs w:val="28"/>
        </w:rPr>
        <w:t xml:space="preserve"> 日</w:t>
      </w:r>
    </w:p>
    <w:p>
      <w:pPr>
        <w:pStyle w:val="35"/>
        <w:jc w:val="center"/>
        <w:rPr>
          <w:rFonts w:ascii="宋体" w:hAnsi="宋体"/>
        </w:rPr>
      </w:pPr>
      <w:r>
        <w:rPr>
          <w:rFonts w:ascii="宋体" w:hAnsi="宋体"/>
          <w:b w:val="0"/>
        </w:rPr>
        <w:br w:type="page"/>
      </w:r>
      <w:bookmarkStart w:id="124" w:name="_Toc519362004"/>
      <w:bookmarkStart w:id="125" w:name="_Toc5974927"/>
      <w:r>
        <w:rPr>
          <w:rFonts w:hint="eastAsia" w:ascii="宋体" w:hAnsi="宋体"/>
        </w:rPr>
        <w:t>投标货物、服务清单</w:t>
      </w:r>
      <w:bookmarkEnd w:id="124"/>
      <w:bookmarkEnd w:id="125"/>
    </w:p>
    <w:p>
      <w:pPr>
        <w:pStyle w:val="22"/>
        <w:adjustRightInd w:val="0"/>
        <w:snapToGrid w:val="0"/>
        <w:spacing w:line="500" w:lineRule="exact"/>
        <w:rPr>
          <w:rFonts w:ascii="宋体" w:hAnsi="宋体"/>
          <w:szCs w:val="28"/>
        </w:rPr>
      </w:pPr>
      <w:r>
        <w:rPr>
          <w:rFonts w:hint="eastAsia" w:ascii="宋体" w:hAnsi="宋体"/>
          <w:szCs w:val="28"/>
        </w:rPr>
        <w:t>采购项目编号：</w:t>
      </w:r>
      <w:r>
        <w:rPr>
          <w:rFonts w:ascii="宋体" w:hAnsi="宋体"/>
          <w:szCs w:val="28"/>
          <w:u w:val="single"/>
        </w:rPr>
        <w:t xml:space="preserve">                              </w:t>
      </w:r>
      <w:r>
        <w:rPr>
          <w:rFonts w:ascii="宋体" w:hAnsi="宋体"/>
          <w:szCs w:val="28"/>
        </w:rPr>
        <w:t xml:space="preserve">     </w:t>
      </w:r>
    </w:p>
    <w:p>
      <w:pPr>
        <w:pStyle w:val="22"/>
        <w:adjustRightInd w:val="0"/>
        <w:snapToGrid w:val="0"/>
        <w:spacing w:line="500" w:lineRule="exact"/>
        <w:rPr>
          <w:rFonts w:ascii="宋体" w:hAnsi="宋体"/>
          <w:szCs w:val="28"/>
          <w:u w:val="single"/>
        </w:rPr>
      </w:pPr>
      <w:r>
        <w:rPr>
          <w:rFonts w:hint="eastAsia" w:ascii="宋体" w:hAnsi="宋体"/>
          <w:szCs w:val="28"/>
        </w:rPr>
        <w:t>采购项目名称：</w:t>
      </w:r>
      <w:r>
        <w:rPr>
          <w:rFonts w:ascii="宋体" w:hAnsi="宋体"/>
          <w:szCs w:val="28"/>
          <w:u w:val="single"/>
        </w:rPr>
        <w:t xml:space="preserve">                              </w:t>
      </w:r>
    </w:p>
    <w:p>
      <w:pPr>
        <w:pStyle w:val="22"/>
        <w:adjustRightInd w:val="0"/>
        <w:snapToGrid w:val="0"/>
        <w:spacing w:line="500" w:lineRule="exact"/>
        <w:rPr>
          <w:rFonts w:ascii="宋体" w:hAnsi="宋体"/>
          <w:szCs w:val="28"/>
          <w:u w:val="single"/>
        </w:rPr>
      </w:pPr>
    </w:p>
    <w:tbl>
      <w:tblPr>
        <w:tblStyle w:val="13"/>
        <w:tblW w:w="8528"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96"/>
        <w:gridCol w:w="2164"/>
        <w:gridCol w:w="4208"/>
        <w:gridCol w:w="166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496" w:type="dxa"/>
            <w:tcBorders>
              <w:top w:val="single" w:color="auto" w:sz="4" w:space="0"/>
              <w:left w:val="single" w:color="auto" w:sz="4" w:space="0"/>
              <w:bottom w:val="single" w:color="auto" w:sz="6" w:space="0"/>
              <w:right w:val="single" w:color="auto" w:sz="6" w:space="0"/>
            </w:tcBorders>
            <w:vAlign w:val="center"/>
          </w:tcPr>
          <w:p>
            <w:pPr>
              <w:pStyle w:val="22"/>
              <w:adjustRightInd w:val="0"/>
              <w:snapToGrid w:val="0"/>
              <w:spacing w:line="500" w:lineRule="exact"/>
              <w:rPr>
                <w:rFonts w:ascii="宋体" w:hAnsi="宋体"/>
                <w:szCs w:val="28"/>
              </w:rPr>
            </w:pPr>
            <w:r>
              <w:rPr>
                <w:rFonts w:hint="eastAsia" w:ascii="宋体" w:hAnsi="宋体"/>
                <w:szCs w:val="28"/>
              </w:rPr>
              <w:t>序号</w:t>
            </w:r>
          </w:p>
        </w:tc>
        <w:tc>
          <w:tcPr>
            <w:tcW w:w="2164" w:type="dxa"/>
            <w:tcBorders>
              <w:top w:val="single" w:color="auto" w:sz="4"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r>
              <w:rPr>
                <w:rFonts w:hint="eastAsia" w:ascii="宋体" w:hAnsi="宋体"/>
                <w:szCs w:val="28"/>
              </w:rPr>
              <w:t>货物</w:t>
            </w:r>
            <w:r>
              <w:rPr>
                <w:rFonts w:ascii="宋体" w:hAnsi="宋体"/>
                <w:szCs w:val="28"/>
              </w:rPr>
              <w:t>/服务名称</w:t>
            </w:r>
          </w:p>
        </w:tc>
        <w:tc>
          <w:tcPr>
            <w:tcW w:w="4208" w:type="dxa"/>
            <w:tcBorders>
              <w:top w:val="single" w:color="auto" w:sz="4"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r>
              <w:rPr>
                <w:rFonts w:hint="eastAsia" w:ascii="宋体" w:hAnsi="宋体"/>
                <w:szCs w:val="28"/>
              </w:rPr>
              <w:t>主要规格、技术参数</w:t>
            </w:r>
          </w:p>
        </w:tc>
        <w:tc>
          <w:tcPr>
            <w:tcW w:w="1660" w:type="dxa"/>
            <w:tcBorders>
              <w:top w:val="single" w:color="auto" w:sz="4" w:space="0"/>
              <w:left w:val="single" w:color="auto" w:sz="6" w:space="0"/>
              <w:bottom w:val="single" w:color="auto" w:sz="6" w:space="0"/>
              <w:right w:val="single" w:color="auto" w:sz="4" w:space="0"/>
            </w:tcBorders>
            <w:vAlign w:val="center"/>
          </w:tcPr>
          <w:p>
            <w:pPr>
              <w:pStyle w:val="22"/>
              <w:adjustRightInd w:val="0"/>
              <w:snapToGrid w:val="0"/>
              <w:spacing w:line="500" w:lineRule="exact"/>
              <w:jc w:val="center"/>
              <w:rPr>
                <w:rFonts w:ascii="宋体" w:hAnsi="宋体"/>
                <w:szCs w:val="28"/>
              </w:rPr>
            </w:pPr>
            <w:r>
              <w:rPr>
                <w:rFonts w:hint="eastAsia" w:ascii="宋体" w:hAnsi="宋体"/>
                <w:szCs w:val="28"/>
              </w:rPr>
              <w:t>数</w:t>
            </w:r>
            <w:r>
              <w:rPr>
                <w:rFonts w:ascii="宋体" w:hAnsi="宋体"/>
                <w:szCs w:val="28"/>
              </w:rPr>
              <w:t xml:space="preserve"> </w:t>
            </w:r>
            <w:r>
              <w:rPr>
                <w:rFonts w:hint="eastAsia" w:ascii="宋体" w:hAnsi="宋体"/>
                <w:szCs w:val="28"/>
              </w:rPr>
              <w:t>量</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496" w:type="dxa"/>
            <w:tcBorders>
              <w:top w:val="single" w:color="auto" w:sz="6" w:space="0"/>
              <w:left w:val="single" w:color="auto" w:sz="4"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r>
              <w:rPr>
                <w:rFonts w:ascii="宋体" w:hAnsi="宋体"/>
                <w:szCs w:val="28"/>
              </w:rPr>
              <w:t>1</w:t>
            </w:r>
          </w:p>
        </w:tc>
        <w:tc>
          <w:tcPr>
            <w:tcW w:w="2164"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p>
        </w:tc>
        <w:tc>
          <w:tcPr>
            <w:tcW w:w="4208"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660" w:type="dxa"/>
            <w:tcBorders>
              <w:top w:val="single" w:color="auto" w:sz="6" w:space="0"/>
              <w:left w:val="single" w:color="auto" w:sz="6" w:space="0"/>
              <w:bottom w:val="single" w:color="auto" w:sz="6" w:space="0"/>
              <w:right w:val="single" w:color="auto" w:sz="4" w:space="0"/>
            </w:tcBorders>
            <w:vAlign w:val="center"/>
          </w:tcPr>
          <w:p>
            <w:pPr>
              <w:pStyle w:val="22"/>
              <w:adjustRightInd w:val="0"/>
              <w:snapToGrid w:val="0"/>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496" w:type="dxa"/>
            <w:tcBorders>
              <w:top w:val="single" w:color="auto" w:sz="6" w:space="0"/>
              <w:left w:val="single" w:color="auto" w:sz="4"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r>
              <w:rPr>
                <w:rFonts w:ascii="宋体" w:hAnsi="宋体"/>
                <w:szCs w:val="28"/>
              </w:rPr>
              <w:t>2</w:t>
            </w:r>
          </w:p>
        </w:tc>
        <w:tc>
          <w:tcPr>
            <w:tcW w:w="2164"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p>
        </w:tc>
        <w:tc>
          <w:tcPr>
            <w:tcW w:w="4208"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660" w:type="dxa"/>
            <w:tcBorders>
              <w:top w:val="single" w:color="auto" w:sz="6" w:space="0"/>
              <w:left w:val="single" w:color="auto" w:sz="6" w:space="0"/>
              <w:bottom w:val="single" w:color="auto" w:sz="6" w:space="0"/>
              <w:right w:val="single" w:color="auto" w:sz="4" w:space="0"/>
            </w:tcBorders>
            <w:vAlign w:val="center"/>
          </w:tcPr>
          <w:p>
            <w:pPr>
              <w:pStyle w:val="22"/>
              <w:adjustRightInd w:val="0"/>
              <w:snapToGrid w:val="0"/>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496" w:type="dxa"/>
            <w:tcBorders>
              <w:top w:val="single" w:color="auto" w:sz="6" w:space="0"/>
              <w:left w:val="single" w:color="auto" w:sz="4"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r>
              <w:rPr>
                <w:rFonts w:ascii="宋体" w:hAnsi="宋体"/>
                <w:szCs w:val="28"/>
              </w:rPr>
              <w:t>3</w:t>
            </w:r>
          </w:p>
        </w:tc>
        <w:tc>
          <w:tcPr>
            <w:tcW w:w="2164"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p>
        </w:tc>
        <w:tc>
          <w:tcPr>
            <w:tcW w:w="4208"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660" w:type="dxa"/>
            <w:tcBorders>
              <w:top w:val="single" w:color="auto" w:sz="6" w:space="0"/>
              <w:left w:val="single" w:color="auto" w:sz="6" w:space="0"/>
              <w:bottom w:val="single" w:color="auto" w:sz="6" w:space="0"/>
              <w:right w:val="single" w:color="auto" w:sz="4" w:space="0"/>
            </w:tcBorders>
            <w:vAlign w:val="center"/>
          </w:tcPr>
          <w:p>
            <w:pPr>
              <w:pStyle w:val="22"/>
              <w:adjustRightInd w:val="0"/>
              <w:snapToGrid w:val="0"/>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496" w:type="dxa"/>
            <w:tcBorders>
              <w:top w:val="single" w:color="auto" w:sz="6" w:space="0"/>
              <w:left w:val="single" w:color="auto" w:sz="4"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r>
              <w:rPr>
                <w:rFonts w:ascii="宋体" w:hAnsi="宋体"/>
                <w:szCs w:val="28"/>
              </w:rPr>
              <w:t>4</w:t>
            </w:r>
          </w:p>
        </w:tc>
        <w:tc>
          <w:tcPr>
            <w:tcW w:w="2164"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p>
        </w:tc>
        <w:tc>
          <w:tcPr>
            <w:tcW w:w="4208"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660" w:type="dxa"/>
            <w:tcBorders>
              <w:top w:val="single" w:color="auto" w:sz="6" w:space="0"/>
              <w:left w:val="single" w:color="auto" w:sz="6" w:space="0"/>
              <w:bottom w:val="single" w:color="auto" w:sz="6" w:space="0"/>
              <w:right w:val="single" w:color="auto" w:sz="4" w:space="0"/>
            </w:tcBorders>
            <w:vAlign w:val="center"/>
          </w:tcPr>
          <w:p>
            <w:pPr>
              <w:pStyle w:val="22"/>
              <w:adjustRightInd w:val="0"/>
              <w:snapToGrid w:val="0"/>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496" w:type="dxa"/>
            <w:tcBorders>
              <w:top w:val="single" w:color="auto" w:sz="6" w:space="0"/>
              <w:left w:val="single" w:color="auto" w:sz="4"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r>
              <w:rPr>
                <w:rFonts w:ascii="宋体" w:hAnsi="宋体"/>
                <w:szCs w:val="28"/>
              </w:rPr>
              <w:t>5</w:t>
            </w:r>
          </w:p>
        </w:tc>
        <w:tc>
          <w:tcPr>
            <w:tcW w:w="2164"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p>
        </w:tc>
        <w:tc>
          <w:tcPr>
            <w:tcW w:w="4208"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660" w:type="dxa"/>
            <w:tcBorders>
              <w:top w:val="single" w:color="auto" w:sz="6" w:space="0"/>
              <w:left w:val="single" w:color="auto" w:sz="6" w:space="0"/>
              <w:bottom w:val="single" w:color="auto" w:sz="6" w:space="0"/>
              <w:right w:val="single" w:color="auto" w:sz="4" w:space="0"/>
            </w:tcBorders>
            <w:vAlign w:val="center"/>
          </w:tcPr>
          <w:p>
            <w:pPr>
              <w:pStyle w:val="22"/>
              <w:adjustRightInd w:val="0"/>
              <w:snapToGrid w:val="0"/>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496" w:type="dxa"/>
            <w:tcBorders>
              <w:top w:val="single" w:color="auto" w:sz="6" w:space="0"/>
              <w:left w:val="single" w:color="auto" w:sz="4"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r>
              <w:rPr>
                <w:rFonts w:ascii="宋体" w:hAnsi="宋体"/>
                <w:szCs w:val="28"/>
              </w:rPr>
              <w:t>6</w:t>
            </w:r>
          </w:p>
        </w:tc>
        <w:tc>
          <w:tcPr>
            <w:tcW w:w="2164"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p>
        </w:tc>
        <w:tc>
          <w:tcPr>
            <w:tcW w:w="4208"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660" w:type="dxa"/>
            <w:tcBorders>
              <w:top w:val="single" w:color="auto" w:sz="6" w:space="0"/>
              <w:left w:val="single" w:color="auto" w:sz="6" w:space="0"/>
              <w:bottom w:val="single" w:color="auto" w:sz="6" w:space="0"/>
              <w:right w:val="single" w:color="auto" w:sz="4" w:space="0"/>
            </w:tcBorders>
            <w:vAlign w:val="center"/>
          </w:tcPr>
          <w:p>
            <w:pPr>
              <w:pStyle w:val="22"/>
              <w:adjustRightInd w:val="0"/>
              <w:snapToGrid w:val="0"/>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496" w:type="dxa"/>
            <w:tcBorders>
              <w:top w:val="single" w:color="auto" w:sz="6" w:space="0"/>
              <w:left w:val="single" w:color="auto" w:sz="4"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r>
              <w:rPr>
                <w:rFonts w:ascii="宋体" w:hAnsi="宋体"/>
                <w:szCs w:val="28"/>
              </w:rPr>
              <w:t>7</w:t>
            </w:r>
          </w:p>
        </w:tc>
        <w:tc>
          <w:tcPr>
            <w:tcW w:w="2164"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p>
        </w:tc>
        <w:tc>
          <w:tcPr>
            <w:tcW w:w="4208"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660" w:type="dxa"/>
            <w:tcBorders>
              <w:top w:val="single" w:color="auto" w:sz="6" w:space="0"/>
              <w:left w:val="single" w:color="auto" w:sz="6" w:space="0"/>
              <w:bottom w:val="single" w:color="auto" w:sz="6" w:space="0"/>
              <w:right w:val="single" w:color="auto" w:sz="4" w:space="0"/>
            </w:tcBorders>
            <w:vAlign w:val="center"/>
          </w:tcPr>
          <w:p>
            <w:pPr>
              <w:pStyle w:val="22"/>
              <w:adjustRightInd w:val="0"/>
              <w:snapToGrid w:val="0"/>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496" w:type="dxa"/>
            <w:tcBorders>
              <w:top w:val="single" w:color="auto" w:sz="6" w:space="0"/>
              <w:left w:val="single" w:color="auto" w:sz="4"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r>
              <w:rPr>
                <w:rFonts w:ascii="宋体" w:hAnsi="宋体"/>
                <w:szCs w:val="28"/>
              </w:rPr>
              <w:t>8</w:t>
            </w:r>
          </w:p>
        </w:tc>
        <w:tc>
          <w:tcPr>
            <w:tcW w:w="2164"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p>
        </w:tc>
        <w:tc>
          <w:tcPr>
            <w:tcW w:w="4208" w:type="dxa"/>
            <w:tcBorders>
              <w:top w:val="single" w:color="auto" w:sz="6" w:space="0"/>
              <w:left w:val="single" w:color="auto" w:sz="6" w:space="0"/>
              <w:bottom w:val="single" w:color="auto" w:sz="6"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660" w:type="dxa"/>
            <w:tcBorders>
              <w:top w:val="single" w:color="auto" w:sz="6" w:space="0"/>
              <w:left w:val="single" w:color="auto" w:sz="6" w:space="0"/>
              <w:bottom w:val="single" w:color="auto" w:sz="6" w:space="0"/>
              <w:right w:val="single" w:color="auto" w:sz="4" w:space="0"/>
            </w:tcBorders>
            <w:vAlign w:val="center"/>
          </w:tcPr>
          <w:p>
            <w:pPr>
              <w:pStyle w:val="22"/>
              <w:adjustRightInd w:val="0"/>
              <w:snapToGrid w:val="0"/>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80" w:hRule="atLeast"/>
          <w:jc w:val="center"/>
        </w:trPr>
        <w:tc>
          <w:tcPr>
            <w:tcW w:w="496" w:type="dxa"/>
            <w:tcBorders>
              <w:top w:val="single" w:color="auto" w:sz="6" w:space="0"/>
              <w:left w:val="single" w:color="auto" w:sz="4" w:space="0"/>
              <w:bottom w:val="single" w:color="auto" w:sz="4"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r>
              <w:rPr>
                <w:rFonts w:hint="eastAsia" w:ascii="宋体" w:hAnsi="宋体"/>
                <w:szCs w:val="28"/>
              </w:rPr>
              <w:t>…</w:t>
            </w:r>
          </w:p>
        </w:tc>
        <w:tc>
          <w:tcPr>
            <w:tcW w:w="2164" w:type="dxa"/>
            <w:tcBorders>
              <w:top w:val="single" w:color="auto" w:sz="6" w:space="0"/>
              <w:left w:val="single" w:color="auto" w:sz="6" w:space="0"/>
              <w:bottom w:val="single" w:color="auto" w:sz="4" w:space="0"/>
              <w:right w:val="single" w:color="auto" w:sz="6" w:space="0"/>
            </w:tcBorders>
            <w:vAlign w:val="center"/>
          </w:tcPr>
          <w:p>
            <w:pPr>
              <w:pStyle w:val="22"/>
              <w:adjustRightInd w:val="0"/>
              <w:snapToGrid w:val="0"/>
              <w:spacing w:line="500" w:lineRule="exact"/>
              <w:ind w:left="-88" w:leftChars="-42"/>
              <w:jc w:val="center"/>
              <w:rPr>
                <w:rFonts w:ascii="宋体" w:hAnsi="宋体"/>
                <w:szCs w:val="28"/>
              </w:rPr>
            </w:pPr>
          </w:p>
        </w:tc>
        <w:tc>
          <w:tcPr>
            <w:tcW w:w="4208" w:type="dxa"/>
            <w:tcBorders>
              <w:top w:val="single" w:color="auto" w:sz="6" w:space="0"/>
              <w:left w:val="single" w:color="auto" w:sz="6" w:space="0"/>
              <w:bottom w:val="single" w:color="auto" w:sz="4" w:space="0"/>
              <w:right w:val="single" w:color="auto" w:sz="6" w:space="0"/>
            </w:tcBorders>
            <w:vAlign w:val="center"/>
          </w:tcPr>
          <w:p>
            <w:pPr>
              <w:pStyle w:val="22"/>
              <w:adjustRightInd w:val="0"/>
              <w:snapToGrid w:val="0"/>
              <w:spacing w:line="500" w:lineRule="exact"/>
              <w:jc w:val="center"/>
              <w:rPr>
                <w:rFonts w:ascii="宋体" w:hAnsi="宋体"/>
                <w:szCs w:val="28"/>
              </w:rPr>
            </w:pPr>
          </w:p>
        </w:tc>
        <w:tc>
          <w:tcPr>
            <w:tcW w:w="1660" w:type="dxa"/>
            <w:tcBorders>
              <w:top w:val="single" w:color="auto" w:sz="6" w:space="0"/>
              <w:left w:val="single" w:color="auto" w:sz="6" w:space="0"/>
              <w:bottom w:val="single" w:color="auto" w:sz="4" w:space="0"/>
              <w:right w:val="single" w:color="auto" w:sz="4" w:space="0"/>
            </w:tcBorders>
            <w:vAlign w:val="center"/>
          </w:tcPr>
          <w:p>
            <w:pPr>
              <w:pStyle w:val="22"/>
              <w:adjustRightInd w:val="0"/>
              <w:snapToGrid w:val="0"/>
              <w:spacing w:line="500" w:lineRule="exact"/>
              <w:jc w:val="center"/>
              <w:rPr>
                <w:rFonts w:ascii="宋体" w:hAnsi="宋体"/>
                <w:szCs w:val="28"/>
              </w:rPr>
            </w:pPr>
          </w:p>
        </w:tc>
      </w:tr>
    </w:tbl>
    <w:p>
      <w:pPr>
        <w:pStyle w:val="22"/>
        <w:adjustRightInd w:val="0"/>
        <w:snapToGrid w:val="0"/>
        <w:spacing w:line="500" w:lineRule="exact"/>
        <w:ind w:left="1260" w:hanging="1260" w:hangingChars="450"/>
        <w:rPr>
          <w:rFonts w:ascii="宋体" w:hAnsi="宋体"/>
          <w:szCs w:val="28"/>
        </w:rPr>
      </w:pPr>
    </w:p>
    <w:p>
      <w:pPr>
        <w:pStyle w:val="22"/>
        <w:adjustRightInd w:val="0"/>
        <w:snapToGrid w:val="0"/>
        <w:spacing w:line="500" w:lineRule="exact"/>
        <w:rPr>
          <w:rFonts w:ascii="宋体" w:hAnsi="宋体"/>
          <w:szCs w:val="28"/>
        </w:rPr>
      </w:pPr>
    </w:p>
    <w:p>
      <w:pPr>
        <w:pStyle w:val="22"/>
        <w:adjustRightInd w:val="0"/>
        <w:snapToGrid w:val="0"/>
        <w:spacing w:line="500" w:lineRule="exact"/>
        <w:rPr>
          <w:rFonts w:ascii="宋体" w:hAnsi="宋体"/>
          <w:szCs w:val="28"/>
        </w:rPr>
      </w:pPr>
    </w:p>
    <w:p>
      <w:pPr>
        <w:pStyle w:val="22"/>
        <w:adjustRightInd w:val="0"/>
        <w:snapToGrid w:val="0"/>
        <w:spacing w:line="500" w:lineRule="exact"/>
        <w:ind w:firstLine="2800" w:firstLineChars="1000"/>
        <w:rPr>
          <w:rFonts w:ascii="宋体" w:hAnsi="宋体"/>
          <w:szCs w:val="28"/>
          <w:u w:val="single"/>
        </w:rPr>
      </w:pPr>
      <w:r>
        <w:rPr>
          <w:rFonts w:hint="eastAsia" w:ascii="宋体" w:hAnsi="宋体"/>
          <w:szCs w:val="28"/>
        </w:rPr>
        <w:t>投标人名称（签章）：</w:t>
      </w:r>
      <w:r>
        <w:rPr>
          <w:rFonts w:ascii="宋体" w:hAnsi="宋体"/>
          <w:szCs w:val="28"/>
          <w:u w:val="single"/>
        </w:rPr>
        <w:t xml:space="preserve">                        </w:t>
      </w:r>
    </w:p>
    <w:p>
      <w:pPr>
        <w:pStyle w:val="22"/>
        <w:adjustRightInd w:val="0"/>
        <w:snapToGrid w:val="0"/>
        <w:spacing w:line="500" w:lineRule="exact"/>
        <w:ind w:firstLine="2800" w:firstLineChars="1000"/>
        <w:rPr>
          <w:rFonts w:ascii="宋体" w:hAnsi="宋体"/>
          <w:szCs w:val="28"/>
        </w:rPr>
      </w:pPr>
      <w:r>
        <w:rPr>
          <w:rFonts w:hint="eastAsia" w:ascii="宋体" w:hAnsi="宋体"/>
          <w:szCs w:val="28"/>
        </w:rPr>
        <w:t>投标人法定代表人（签章）：</w:t>
      </w:r>
      <w:r>
        <w:rPr>
          <w:rFonts w:ascii="宋体" w:hAnsi="宋体"/>
          <w:szCs w:val="28"/>
          <w:u w:val="single"/>
        </w:rPr>
        <w:t xml:space="preserve">                  </w:t>
      </w:r>
    </w:p>
    <w:p>
      <w:pPr>
        <w:pStyle w:val="22"/>
        <w:adjustRightInd w:val="0"/>
        <w:snapToGrid w:val="0"/>
        <w:spacing w:line="500" w:lineRule="exact"/>
        <w:ind w:firstLine="2800" w:firstLineChars="1000"/>
        <w:rPr>
          <w:rFonts w:ascii="宋体" w:hAnsi="宋体"/>
          <w:szCs w:val="28"/>
          <w:u w:val="single"/>
        </w:rPr>
      </w:pPr>
      <w:r>
        <w:rPr>
          <w:rFonts w:hint="eastAsia" w:ascii="宋体" w:hAnsi="宋体"/>
          <w:szCs w:val="28"/>
        </w:rPr>
        <w:t>日期：</w:t>
      </w:r>
      <w:r>
        <w:rPr>
          <w:rFonts w:ascii="宋体" w:hAnsi="宋体"/>
          <w:szCs w:val="28"/>
          <w:u w:val="single"/>
        </w:rPr>
        <w:t xml:space="preserve">          </w:t>
      </w:r>
      <w:r>
        <w:rPr>
          <w:rFonts w:hint="eastAsia" w:ascii="宋体" w:hAnsi="宋体"/>
          <w:szCs w:val="28"/>
        </w:rPr>
        <w:t>年</w:t>
      </w:r>
      <w:r>
        <w:rPr>
          <w:rFonts w:ascii="宋体" w:hAnsi="宋体"/>
          <w:szCs w:val="28"/>
          <w:u w:val="single"/>
        </w:rPr>
        <w:t xml:space="preserve">     </w:t>
      </w:r>
      <w:r>
        <w:rPr>
          <w:rFonts w:ascii="宋体" w:hAnsi="宋体"/>
          <w:szCs w:val="28"/>
        </w:rPr>
        <w:t xml:space="preserve"> 月</w:t>
      </w:r>
      <w:r>
        <w:rPr>
          <w:rFonts w:ascii="宋体" w:hAnsi="宋体"/>
          <w:szCs w:val="28"/>
          <w:u w:val="single"/>
        </w:rPr>
        <w:t xml:space="preserve">    </w:t>
      </w:r>
      <w:r>
        <w:rPr>
          <w:rFonts w:ascii="宋体" w:hAnsi="宋体"/>
          <w:szCs w:val="28"/>
        </w:rPr>
        <w:t xml:space="preserve"> 日</w:t>
      </w:r>
    </w:p>
    <w:p>
      <w:pPr>
        <w:pStyle w:val="22"/>
        <w:adjustRightInd w:val="0"/>
        <w:snapToGrid w:val="0"/>
        <w:spacing w:line="500" w:lineRule="exact"/>
        <w:rPr>
          <w:rFonts w:ascii="宋体" w:hAnsi="宋体"/>
          <w:b/>
          <w:szCs w:val="28"/>
        </w:rPr>
      </w:pPr>
    </w:p>
    <w:p>
      <w:pPr>
        <w:pStyle w:val="35"/>
        <w:jc w:val="center"/>
        <w:rPr>
          <w:rFonts w:ascii="宋体" w:hAnsi="宋体"/>
        </w:rPr>
      </w:pPr>
      <w:r>
        <w:rPr>
          <w:rFonts w:ascii="宋体" w:hAnsi="宋体"/>
        </w:rPr>
        <w:br w:type="page"/>
      </w:r>
      <w:bookmarkStart w:id="126" w:name="_Toc5974928"/>
      <w:bookmarkStart w:id="127" w:name="_Toc519362005"/>
      <w:r>
        <w:rPr>
          <w:rFonts w:hint="eastAsia" w:ascii="宋体" w:hAnsi="宋体"/>
        </w:rPr>
        <w:t>商务响应、偏离说明表</w:t>
      </w:r>
      <w:bookmarkEnd w:id="126"/>
      <w:bookmarkEnd w:id="127"/>
    </w:p>
    <w:p>
      <w:pPr>
        <w:pStyle w:val="22"/>
        <w:adjustRightInd w:val="0"/>
        <w:snapToGrid w:val="0"/>
        <w:spacing w:line="500" w:lineRule="exact"/>
        <w:rPr>
          <w:rFonts w:ascii="宋体" w:hAnsi="宋体"/>
          <w:szCs w:val="28"/>
        </w:rPr>
      </w:pPr>
      <w:r>
        <w:rPr>
          <w:rFonts w:hint="eastAsia" w:ascii="宋体" w:hAnsi="宋体"/>
          <w:szCs w:val="28"/>
        </w:rPr>
        <w:t>采购项目编号：</w:t>
      </w:r>
      <w:r>
        <w:rPr>
          <w:rFonts w:ascii="宋体" w:hAnsi="宋体"/>
          <w:szCs w:val="28"/>
          <w:u w:val="single"/>
        </w:rPr>
        <w:t xml:space="preserve">                              </w:t>
      </w:r>
      <w:r>
        <w:rPr>
          <w:rFonts w:ascii="宋体" w:hAnsi="宋体"/>
          <w:szCs w:val="28"/>
        </w:rPr>
        <w:t xml:space="preserve">     </w:t>
      </w:r>
    </w:p>
    <w:p>
      <w:pPr>
        <w:pStyle w:val="22"/>
        <w:adjustRightInd w:val="0"/>
        <w:snapToGrid w:val="0"/>
        <w:spacing w:line="500" w:lineRule="exact"/>
        <w:rPr>
          <w:rFonts w:ascii="宋体" w:hAnsi="宋体"/>
          <w:szCs w:val="28"/>
          <w:u w:val="single"/>
        </w:rPr>
      </w:pPr>
      <w:r>
        <w:rPr>
          <w:rFonts w:hint="eastAsia" w:ascii="宋体" w:hAnsi="宋体"/>
          <w:szCs w:val="28"/>
        </w:rPr>
        <w:t>采购项目名称：</w:t>
      </w:r>
      <w:r>
        <w:rPr>
          <w:rFonts w:ascii="宋体" w:hAnsi="宋体"/>
          <w:szCs w:val="28"/>
          <w:u w:val="single"/>
        </w:rPr>
        <w:t xml:space="preserve">                              </w:t>
      </w:r>
    </w:p>
    <w:tbl>
      <w:tblPr>
        <w:tblStyle w:val="13"/>
        <w:tblW w:w="884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703"/>
        <w:gridCol w:w="2589"/>
        <w:gridCol w:w="2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trPr>
        <w:tc>
          <w:tcPr>
            <w:tcW w:w="85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r>
              <w:rPr>
                <w:rFonts w:hint="eastAsia" w:ascii="宋体" w:hAnsi="宋体" w:cs="Courier New"/>
                <w:szCs w:val="28"/>
              </w:rPr>
              <w:t>序号</w:t>
            </w:r>
          </w:p>
        </w:tc>
        <w:tc>
          <w:tcPr>
            <w:tcW w:w="2703"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cs="Courier New"/>
                <w:szCs w:val="28"/>
              </w:rPr>
            </w:pPr>
            <w:r>
              <w:rPr>
                <w:rFonts w:hint="eastAsia" w:ascii="宋体" w:hAnsi="宋体" w:cs="Courier New"/>
                <w:szCs w:val="28"/>
              </w:rPr>
              <w:t>招标文件要求部分</w:t>
            </w:r>
          </w:p>
        </w:tc>
        <w:tc>
          <w:tcPr>
            <w:tcW w:w="2589"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cs="Courier New"/>
                <w:szCs w:val="28"/>
              </w:rPr>
            </w:pPr>
            <w:r>
              <w:rPr>
                <w:rFonts w:hint="eastAsia" w:ascii="宋体" w:hAnsi="宋体" w:cs="Courier New"/>
                <w:szCs w:val="28"/>
              </w:rPr>
              <w:t>投标货物</w:t>
            </w:r>
            <w:r>
              <w:rPr>
                <w:rFonts w:ascii="宋体" w:hAnsi="宋体" w:cs="Courier New"/>
                <w:szCs w:val="28"/>
              </w:rPr>
              <w:t>/服务</w:t>
            </w:r>
          </w:p>
          <w:p>
            <w:pPr>
              <w:pStyle w:val="22"/>
              <w:spacing w:line="500" w:lineRule="exact"/>
              <w:jc w:val="center"/>
              <w:rPr>
                <w:rFonts w:ascii="宋体" w:hAnsi="宋体" w:cs="Courier New"/>
                <w:szCs w:val="28"/>
              </w:rPr>
            </w:pPr>
            <w:r>
              <w:rPr>
                <w:rFonts w:hint="eastAsia" w:ascii="宋体" w:hAnsi="宋体" w:cs="Courier New"/>
                <w:szCs w:val="28"/>
              </w:rPr>
              <w:t>响应部分</w:t>
            </w:r>
          </w:p>
        </w:tc>
        <w:tc>
          <w:tcPr>
            <w:tcW w:w="270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cs="Courier New"/>
                <w:szCs w:val="28"/>
              </w:rPr>
            </w:pPr>
            <w:r>
              <w:rPr>
                <w:rFonts w:hint="eastAsia" w:ascii="宋体" w:hAnsi="宋体" w:cs="Courier New"/>
                <w:szCs w:val="28"/>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85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r>
              <w:rPr>
                <w:rFonts w:ascii="宋体" w:hAnsi="宋体" w:cs="Courier New"/>
                <w:szCs w:val="28"/>
              </w:rPr>
              <w:t>1</w:t>
            </w:r>
          </w:p>
        </w:tc>
        <w:tc>
          <w:tcPr>
            <w:tcW w:w="2703"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589"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70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85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r>
              <w:rPr>
                <w:rFonts w:ascii="宋体" w:hAnsi="宋体" w:cs="Courier New"/>
                <w:szCs w:val="28"/>
              </w:rPr>
              <w:t>2</w:t>
            </w:r>
          </w:p>
        </w:tc>
        <w:tc>
          <w:tcPr>
            <w:tcW w:w="2703"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589"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70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85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r>
              <w:rPr>
                <w:rFonts w:ascii="宋体" w:hAnsi="宋体" w:cs="Courier New"/>
                <w:szCs w:val="28"/>
              </w:rPr>
              <w:t>3</w:t>
            </w:r>
          </w:p>
        </w:tc>
        <w:tc>
          <w:tcPr>
            <w:tcW w:w="2703"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589"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70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85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r>
              <w:rPr>
                <w:rFonts w:ascii="宋体" w:hAnsi="宋体" w:cs="Courier New"/>
                <w:szCs w:val="28"/>
              </w:rPr>
              <w:t>4</w:t>
            </w:r>
          </w:p>
        </w:tc>
        <w:tc>
          <w:tcPr>
            <w:tcW w:w="2703"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589"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70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85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r>
              <w:rPr>
                <w:rFonts w:ascii="宋体" w:hAnsi="宋体" w:cs="Courier New"/>
                <w:szCs w:val="28"/>
              </w:rPr>
              <w:t>5</w:t>
            </w:r>
          </w:p>
        </w:tc>
        <w:tc>
          <w:tcPr>
            <w:tcW w:w="2703"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589"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70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85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r>
              <w:rPr>
                <w:rFonts w:ascii="宋体" w:hAnsi="宋体" w:cs="Courier New"/>
                <w:szCs w:val="28"/>
              </w:rPr>
              <w:t>6</w:t>
            </w:r>
          </w:p>
        </w:tc>
        <w:tc>
          <w:tcPr>
            <w:tcW w:w="2703"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589"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70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85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r>
              <w:rPr>
                <w:rFonts w:ascii="宋体" w:hAnsi="宋体" w:cs="Courier New"/>
                <w:szCs w:val="28"/>
              </w:rPr>
              <w:t>7</w:t>
            </w:r>
          </w:p>
        </w:tc>
        <w:tc>
          <w:tcPr>
            <w:tcW w:w="2703"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589"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70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85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r>
              <w:rPr>
                <w:rFonts w:ascii="宋体" w:hAnsi="宋体" w:cs="Courier New"/>
                <w:szCs w:val="28"/>
              </w:rPr>
              <w:t>8</w:t>
            </w:r>
          </w:p>
        </w:tc>
        <w:tc>
          <w:tcPr>
            <w:tcW w:w="2703"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589"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70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85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r>
              <w:rPr>
                <w:rFonts w:ascii="宋体" w:hAnsi="宋体" w:cs="Courier New"/>
                <w:szCs w:val="28"/>
              </w:rPr>
              <w:t>9</w:t>
            </w:r>
          </w:p>
        </w:tc>
        <w:tc>
          <w:tcPr>
            <w:tcW w:w="2703"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589"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70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85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r>
              <w:rPr>
                <w:rFonts w:hint="eastAsia" w:ascii="宋体" w:hAnsi="宋体" w:cs="Courier New"/>
                <w:szCs w:val="28"/>
              </w:rPr>
              <w:t>…</w:t>
            </w:r>
          </w:p>
        </w:tc>
        <w:tc>
          <w:tcPr>
            <w:tcW w:w="2703"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589"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c>
          <w:tcPr>
            <w:tcW w:w="270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rPr>
                <w:rFonts w:ascii="宋体" w:hAnsi="宋体" w:cs="Courier New"/>
                <w:szCs w:val="28"/>
              </w:rPr>
            </w:pPr>
          </w:p>
        </w:tc>
      </w:tr>
    </w:tbl>
    <w:p>
      <w:pPr>
        <w:pStyle w:val="22"/>
        <w:spacing w:line="500" w:lineRule="exact"/>
        <w:rPr>
          <w:rFonts w:ascii="宋体" w:hAnsi="宋体"/>
          <w:szCs w:val="28"/>
        </w:rPr>
      </w:pPr>
    </w:p>
    <w:p>
      <w:pPr>
        <w:pStyle w:val="22"/>
        <w:adjustRightInd w:val="0"/>
        <w:snapToGrid w:val="0"/>
        <w:spacing w:line="500" w:lineRule="exact"/>
        <w:rPr>
          <w:rFonts w:ascii="宋体" w:hAnsi="宋体"/>
          <w:b/>
          <w:szCs w:val="28"/>
        </w:rPr>
      </w:pPr>
    </w:p>
    <w:p>
      <w:pPr>
        <w:pStyle w:val="35"/>
        <w:jc w:val="center"/>
        <w:rPr>
          <w:rFonts w:ascii="宋体" w:hAnsi="宋体"/>
        </w:rPr>
      </w:pPr>
      <w:r>
        <w:rPr>
          <w:rFonts w:ascii="宋体" w:hAnsi="宋体"/>
        </w:rPr>
        <w:br w:type="page"/>
      </w:r>
      <w:bookmarkStart w:id="128" w:name="_Toc5974929"/>
      <w:bookmarkStart w:id="129" w:name="_Toc519362006"/>
      <w:r>
        <w:rPr>
          <w:rFonts w:hint="eastAsia" w:ascii="宋体" w:hAnsi="宋体"/>
        </w:rPr>
        <w:t>技术响应、偏离说明表</w:t>
      </w:r>
      <w:bookmarkEnd w:id="128"/>
      <w:bookmarkEnd w:id="129"/>
    </w:p>
    <w:p>
      <w:pPr>
        <w:pStyle w:val="22"/>
        <w:spacing w:line="500" w:lineRule="exact"/>
        <w:rPr>
          <w:rFonts w:ascii="宋体" w:hAnsi="宋体"/>
          <w:szCs w:val="28"/>
        </w:rPr>
      </w:pPr>
      <w:r>
        <w:rPr>
          <w:rFonts w:hint="eastAsia" w:ascii="宋体" w:hAnsi="宋体"/>
          <w:szCs w:val="28"/>
        </w:rPr>
        <w:t>采购项目编号：</w:t>
      </w:r>
      <w:r>
        <w:rPr>
          <w:rFonts w:ascii="宋体" w:hAnsi="宋体"/>
          <w:szCs w:val="28"/>
          <w:u w:val="single"/>
        </w:rPr>
        <w:t xml:space="preserve">                           </w:t>
      </w:r>
      <w:r>
        <w:rPr>
          <w:rFonts w:ascii="宋体" w:hAnsi="宋体"/>
          <w:szCs w:val="28"/>
        </w:rPr>
        <w:t xml:space="preserve">       </w:t>
      </w:r>
    </w:p>
    <w:p>
      <w:pPr>
        <w:pStyle w:val="22"/>
        <w:spacing w:line="500" w:lineRule="exact"/>
        <w:rPr>
          <w:rFonts w:ascii="宋体" w:hAnsi="宋体"/>
          <w:szCs w:val="28"/>
          <w:u w:val="single"/>
        </w:rPr>
      </w:pPr>
      <w:r>
        <w:rPr>
          <w:rFonts w:hint="eastAsia" w:ascii="宋体" w:hAnsi="宋体"/>
          <w:szCs w:val="28"/>
        </w:rPr>
        <w:t>采购项目名称：</w:t>
      </w:r>
      <w:r>
        <w:rPr>
          <w:rFonts w:ascii="宋体" w:hAnsi="宋体"/>
          <w:szCs w:val="28"/>
          <w:u w:val="single"/>
        </w:rPr>
        <w:t xml:space="preserve">                           </w:t>
      </w:r>
    </w:p>
    <w:tbl>
      <w:tblPr>
        <w:tblStyle w:val="13"/>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2712"/>
        <w:gridCol w:w="2589"/>
        <w:gridCol w:w="2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trPr>
        <w:tc>
          <w:tcPr>
            <w:tcW w:w="525"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r>
              <w:rPr>
                <w:rFonts w:hint="eastAsia" w:ascii="宋体" w:hAnsi="宋体"/>
                <w:szCs w:val="28"/>
              </w:rPr>
              <w:t>序号</w:t>
            </w:r>
          </w:p>
        </w:tc>
        <w:tc>
          <w:tcPr>
            <w:tcW w:w="271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r>
              <w:rPr>
                <w:rFonts w:hint="eastAsia" w:ascii="宋体" w:hAnsi="宋体"/>
                <w:szCs w:val="28"/>
              </w:rPr>
              <w:t>招标文件要求部分</w:t>
            </w:r>
          </w:p>
        </w:tc>
        <w:tc>
          <w:tcPr>
            <w:tcW w:w="2589"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r>
              <w:rPr>
                <w:rFonts w:hint="eastAsia" w:ascii="宋体" w:hAnsi="宋体"/>
                <w:szCs w:val="28"/>
              </w:rPr>
              <w:t>投标货物</w:t>
            </w:r>
            <w:r>
              <w:rPr>
                <w:rFonts w:ascii="宋体" w:hAnsi="宋体"/>
                <w:szCs w:val="28"/>
              </w:rPr>
              <w:t>/服务</w:t>
            </w:r>
          </w:p>
          <w:p>
            <w:pPr>
              <w:pStyle w:val="22"/>
              <w:spacing w:line="500" w:lineRule="exact"/>
              <w:jc w:val="center"/>
              <w:rPr>
                <w:rFonts w:ascii="宋体" w:hAnsi="宋体"/>
                <w:szCs w:val="28"/>
              </w:rPr>
            </w:pPr>
            <w:r>
              <w:rPr>
                <w:rFonts w:hint="eastAsia" w:ascii="宋体" w:hAnsi="宋体"/>
                <w:szCs w:val="28"/>
              </w:rPr>
              <w:t>响应部分</w:t>
            </w:r>
          </w:p>
        </w:tc>
        <w:tc>
          <w:tcPr>
            <w:tcW w:w="270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r>
              <w:rPr>
                <w:rFonts w:hint="eastAsia" w:ascii="宋体" w:hAnsi="宋体"/>
                <w:szCs w:val="28"/>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25"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r>
              <w:rPr>
                <w:rFonts w:ascii="宋体" w:hAnsi="宋体"/>
                <w:szCs w:val="28"/>
              </w:rPr>
              <w:t>1</w:t>
            </w:r>
          </w:p>
        </w:tc>
        <w:tc>
          <w:tcPr>
            <w:tcW w:w="271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c>
          <w:tcPr>
            <w:tcW w:w="2589"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c>
          <w:tcPr>
            <w:tcW w:w="270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25"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r>
              <w:rPr>
                <w:rFonts w:ascii="宋体" w:hAnsi="宋体"/>
                <w:szCs w:val="28"/>
              </w:rPr>
              <w:t>2</w:t>
            </w:r>
          </w:p>
        </w:tc>
        <w:tc>
          <w:tcPr>
            <w:tcW w:w="271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c>
          <w:tcPr>
            <w:tcW w:w="2589"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c>
          <w:tcPr>
            <w:tcW w:w="270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25"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r>
              <w:rPr>
                <w:rFonts w:ascii="宋体" w:hAnsi="宋体"/>
                <w:szCs w:val="28"/>
              </w:rPr>
              <w:t>3</w:t>
            </w:r>
          </w:p>
        </w:tc>
        <w:tc>
          <w:tcPr>
            <w:tcW w:w="271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c>
          <w:tcPr>
            <w:tcW w:w="2589"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c>
          <w:tcPr>
            <w:tcW w:w="270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25"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r>
              <w:rPr>
                <w:rFonts w:ascii="宋体" w:hAnsi="宋体"/>
                <w:szCs w:val="28"/>
              </w:rPr>
              <w:t>4</w:t>
            </w:r>
          </w:p>
        </w:tc>
        <w:tc>
          <w:tcPr>
            <w:tcW w:w="271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c>
          <w:tcPr>
            <w:tcW w:w="2589"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c>
          <w:tcPr>
            <w:tcW w:w="270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25"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r>
              <w:rPr>
                <w:rFonts w:ascii="宋体" w:hAnsi="宋体"/>
                <w:szCs w:val="28"/>
              </w:rPr>
              <w:t>5</w:t>
            </w:r>
          </w:p>
        </w:tc>
        <w:tc>
          <w:tcPr>
            <w:tcW w:w="271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c>
          <w:tcPr>
            <w:tcW w:w="2589"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c>
          <w:tcPr>
            <w:tcW w:w="270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25"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r>
              <w:rPr>
                <w:rFonts w:ascii="宋体" w:hAnsi="宋体"/>
                <w:szCs w:val="28"/>
              </w:rPr>
              <w:t>6</w:t>
            </w:r>
          </w:p>
        </w:tc>
        <w:tc>
          <w:tcPr>
            <w:tcW w:w="271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c>
          <w:tcPr>
            <w:tcW w:w="2589"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c>
          <w:tcPr>
            <w:tcW w:w="270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25"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r>
              <w:rPr>
                <w:rFonts w:hint="eastAsia" w:ascii="宋体" w:hAnsi="宋体"/>
                <w:szCs w:val="28"/>
              </w:rPr>
              <w:t>…</w:t>
            </w:r>
          </w:p>
        </w:tc>
        <w:tc>
          <w:tcPr>
            <w:tcW w:w="271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c>
          <w:tcPr>
            <w:tcW w:w="2589"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c>
          <w:tcPr>
            <w:tcW w:w="2702" w:type="dxa"/>
            <w:tcBorders>
              <w:top w:val="single" w:color="auto" w:sz="4" w:space="0"/>
              <w:left w:val="single" w:color="auto" w:sz="4" w:space="0"/>
              <w:bottom w:val="single" w:color="auto" w:sz="4" w:space="0"/>
              <w:right w:val="single" w:color="auto" w:sz="4" w:space="0"/>
            </w:tcBorders>
            <w:vAlign w:val="center"/>
          </w:tcPr>
          <w:p>
            <w:pPr>
              <w:pStyle w:val="22"/>
              <w:spacing w:line="500" w:lineRule="exact"/>
              <w:jc w:val="center"/>
              <w:rPr>
                <w:rFonts w:ascii="宋体" w:hAnsi="宋体"/>
                <w:szCs w:val="28"/>
              </w:rPr>
            </w:pPr>
          </w:p>
        </w:tc>
      </w:tr>
    </w:tbl>
    <w:p>
      <w:pPr>
        <w:pStyle w:val="22"/>
        <w:adjustRightInd w:val="0"/>
        <w:snapToGrid w:val="0"/>
        <w:spacing w:line="500" w:lineRule="exact"/>
        <w:ind w:left="840" w:hanging="840" w:hangingChars="300"/>
        <w:rPr>
          <w:rFonts w:ascii="宋体" w:hAnsi="宋体"/>
          <w:szCs w:val="28"/>
        </w:rPr>
      </w:pPr>
      <w:r>
        <w:rPr>
          <w:rFonts w:hint="eastAsia" w:ascii="宋体" w:hAnsi="宋体"/>
          <w:szCs w:val="28"/>
        </w:rPr>
        <w:t>说明：投标人应对照招标文件”第三章</w:t>
      </w:r>
      <w:r>
        <w:rPr>
          <w:rFonts w:ascii="宋体" w:hAnsi="宋体"/>
          <w:szCs w:val="28"/>
        </w:rPr>
        <w:t xml:space="preserve"> </w:t>
      </w:r>
      <w:r>
        <w:rPr>
          <w:rFonts w:hint="eastAsia" w:ascii="宋体" w:hAnsi="宋体"/>
          <w:szCs w:val="28"/>
        </w:rPr>
        <w:t>采购需求”，逐条说明所提供货物和服务已对招标文件的技术规格做出了实质性的响应，并申明与技术规格条文的偏离和例外。特别对有具体参数要求的指标，投标人必须提供所投设备的具体参数值。</w:t>
      </w:r>
    </w:p>
    <w:p>
      <w:pPr>
        <w:pStyle w:val="22"/>
        <w:adjustRightInd w:val="0"/>
        <w:snapToGrid w:val="0"/>
        <w:spacing w:line="500" w:lineRule="exact"/>
        <w:rPr>
          <w:rFonts w:ascii="宋体" w:hAnsi="宋体"/>
          <w:szCs w:val="28"/>
        </w:rPr>
      </w:pPr>
    </w:p>
    <w:p>
      <w:pPr>
        <w:pStyle w:val="22"/>
        <w:spacing w:line="500" w:lineRule="exact"/>
        <w:rPr>
          <w:rFonts w:ascii="宋体" w:hAnsi="宋体"/>
          <w:szCs w:val="28"/>
        </w:rPr>
      </w:pPr>
    </w:p>
    <w:p>
      <w:pPr>
        <w:pStyle w:val="22"/>
        <w:widowControl/>
        <w:jc w:val="left"/>
        <w:rPr>
          <w:rFonts w:ascii="宋体" w:hAnsi="宋体"/>
          <w:szCs w:val="28"/>
        </w:rPr>
      </w:pPr>
      <w:r>
        <w:rPr>
          <w:rFonts w:ascii="宋体" w:hAnsi="宋体"/>
          <w:szCs w:val="28"/>
        </w:rPr>
        <w:br w:type="page"/>
      </w:r>
    </w:p>
    <w:p>
      <w:pPr>
        <w:pStyle w:val="35"/>
        <w:jc w:val="center"/>
        <w:rPr>
          <w:rFonts w:ascii="宋体" w:hAnsi="宋体"/>
        </w:rPr>
      </w:pPr>
      <w:bookmarkStart w:id="130" w:name="_Toc5974930"/>
      <w:bookmarkStart w:id="131" w:name="_Toc519362007"/>
      <w:r>
        <w:rPr>
          <w:rFonts w:hint="eastAsia" w:ascii="宋体" w:hAnsi="宋体"/>
        </w:rPr>
        <w:t>法定代表人资格证明文件</w:t>
      </w:r>
      <w:bookmarkEnd w:id="130"/>
      <w:bookmarkEnd w:id="131"/>
    </w:p>
    <w:p>
      <w:pPr>
        <w:pStyle w:val="22"/>
        <w:adjustRightInd w:val="0"/>
        <w:snapToGrid w:val="0"/>
        <w:spacing w:line="500" w:lineRule="exact"/>
        <w:rPr>
          <w:rFonts w:ascii="宋体" w:hAnsi="宋体"/>
          <w:szCs w:val="28"/>
        </w:rPr>
      </w:pPr>
      <w:r>
        <w:rPr>
          <w:rFonts w:hint="eastAsia" w:ascii="宋体" w:hAnsi="宋体"/>
          <w:szCs w:val="28"/>
          <w:u w:val="single"/>
        </w:rPr>
        <w:t>（代理机构名称）</w:t>
      </w:r>
      <w:r>
        <w:rPr>
          <w:rFonts w:hint="eastAsia" w:ascii="宋体" w:hAnsi="宋体"/>
          <w:szCs w:val="28"/>
        </w:rPr>
        <w:t>：</w:t>
      </w:r>
    </w:p>
    <w:p>
      <w:pPr>
        <w:pStyle w:val="22"/>
        <w:adjustRightInd w:val="0"/>
        <w:snapToGrid w:val="0"/>
        <w:spacing w:line="500" w:lineRule="exact"/>
        <w:ind w:firstLine="560" w:firstLineChars="200"/>
        <w:rPr>
          <w:rFonts w:ascii="宋体" w:hAnsi="宋体"/>
          <w:szCs w:val="28"/>
        </w:rPr>
      </w:pPr>
      <w:r>
        <w:rPr>
          <w:rFonts w:hint="eastAsia" w:ascii="宋体" w:hAnsi="宋体"/>
          <w:szCs w:val="28"/>
        </w:rPr>
        <w:t>兹有</w:t>
      </w:r>
      <w:r>
        <w:rPr>
          <w:rFonts w:ascii="宋体" w:hAnsi="宋体"/>
          <w:szCs w:val="28"/>
          <w:u w:val="single"/>
        </w:rPr>
        <w:t xml:space="preserve">          </w:t>
      </w:r>
      <w:r>
        <w:rPr>
          <w:rFonts w:hint="eastAsia" w:ascii="宋体" w:hAnsi="宋体"/>
          <w:szCs w:val="28"/>
        </w:rPr>
        <w:t>同志为</w:t>
      </w:r>
      <w:r>
        <w:rPr>
          <w:rFonts w:ascii="宋体" w:hAnsi="宋体"/>
          <w:szCs w:val="28"/>
          <w:u w:val="single"/>
        </w:rPr>
        <w:t xml:space="preserve">             </w:t>
      </w:r>
      <w:r>
        <w:rPr>
          <w:rFonts w:hint="eastAsia" w:ascii="宋体" w:hAnsi="宋体"/>
          <w:szCs w:val="28"/>
        </w:rPr>
        <w:t>公司法定代表人，代表我公司办理一切社会公务事宜，具有法律效力。</w:t>
      </w:r>
      <w:r>
        <w:rPr>
          <w:rFonts w:ascii="宋体" w:hAnsi="宋体"/>
          <w:szCs w:val="28"/>
        </w:rPr>
        <w:t xml:space="preserve"> </w:t>
      </w:r>
    </w:p>
    <w:p>
      <w:pPr>
        <w:pStyle w:val="22"/>
        <w:adjustRightInd w:val="0"/>
        <w:snapToGrid w:val="0"/>
        <w:spacing w:line="500" w:lineRule="exact"/>
        <w:ind w:firstLine="560" w:firstLineChars="200"/>
        <w:rPr>
          <w:rFonts w:ascii="宋体" w:hAnsi="宋体"/>
          <w:szCs w:val="28"/>
        </w:rPr>
      </w:pPr>
      <w:r>
        <w:rPr>
          <w:rFonts w:hint="eastAsia" w:ascii="宋体" w:hAnsi="宋体"/>
          <w:szCs w:val="28"/>
        </w:rPr>
        <w:t>附法定代表人基本情况：</w:t>
      </w:r>
      <w:r>
        <w:rPr>
          <w:rFonts w:ascii="宋体" w:hAnsi="宋体"/>
          <w:szCs w:val="28"/>
        </w:rPr>
        <w:t xml:space="preserve"> </w:t>
      </w:r>
    </w:p>
    <w:p>
      <w:pPr>
        <w:pStyle w:val="22"/>
        <w:adjustRightInd w:val="0"/>
        <w:snapToGrid w:val="0"/>
        <w:spacing w:line="500" w:lineRule="exact"/>
        <w:ind w:firstLine="560" w:firstLineChars="200"/>
        <w:rPr>
          <w:rFonts w:ascii="宋体" w:hAnsi="宋体"/>
          <w:szCs w:val="28"/>
          <w:u w:val="single"/>
        </w:rPr>
      </w:pPr>
      <w:r>
        <w:rPr>
          <w:rFonts w:hint="eastAsia" w:ascii="宋体" w:hAnsi="宋体"/>
          <w:szCs w:val="28"/>
        </w:rPr>
        <w:t>姓名：</w:t>
      </w:r>
      <w:r>
        <w:rPr>
          <w:rFonts w:ascii="宋体" w:hAnsi="宋体"/>
          <w:szCs w:val="28"/>
          <w:u w:val="single"/>
        </w:rPr>
        <w:t xml:space="preserve">          </w:t>
      </w:r>
      <w:r>
        <w:rPr>
          <w:rFonts w:hint="eastAsia" w:ascii="宋体" w:hAnsi="宋体"/>
          <w:szCs w:val="28"/>
        </w:rPr>
        <w:t>性别：</w:t>
      </w:r>
      <w:r>
        <w:rPr>
          <w:rFonts w:ascii="宋体" w:hAnsi="宋体"/>
          <w:szCs w:val="28"/>
          <w:u w:val="single"/>
        </w:rPr>
        <w:t xml:space="preserve">     </w:t>
      </w:r>
      <w:r>
        <w:rPr>
          <w:rFonts w:hint="eastAsia" w:ascii="宋体" w:hAnsi="宋体"/>
          <w:szCs w:val="28"/>
        </w:rPr>
        <w:t>年龄：</w:t>
      </w:r>
      <w:r>
        <w:rPr>
          <w:rFonts w:ascii="宋体" w:hAnsi="宋体"/>
          <w:szCs w:val="28"/>
          <w:u w:val="single"/>
        </w:rPr>
        <w:t xml:space="preserve">     </w:t>
      </w:r>
      <w:r>
        <w:rPr>
          <w:rFonts w:hint="eastAsia" w:ascii="宋体" w:hAnsi="宋体"/>
          <w:szCs w:val="28"/>
        </w:rPr>
        <w:t>职务：</w:t>
      </w:r>
      <w:r>
        <w:rPr>
          <w:rFonts w:ascii="宋体" w:hAnsi="宋体"/>
          <w:szCs w:val="28"/>
          <w:u w:val="single"/>
        </w:rPr>
        <w:t xml:space="preserve">         </w:t>
      </w:r>
    </w:p>
    <w:p>
      <w:pPr>
        <w:pStyle w:val="22"/>
        <w:adjustRightInd w:val="0"/>
        <w:snapToGrid w:val="0"/>
        <w:spacing w:line="500" w:lineRule="exact"/>
        <w:ind w:firstLine="560" w:firstLineChars="200"/>
        <w:rPr>
          <w:rFonts w:ascii="宋体" w:hAnsi="宋体"/>
          <w:szCs w:val="28"/>
        </w:rPr>
      </w:pPr>
      <w:r>
        <w:rPr>
          <w:rFonts w:hint="eastAsia" w:ascii="宋体" w:hAnsi="宋体"/>
          <w:szCs w:val="28"/>
        </w:rPr>
        <w:t>身份证号码：</w:t>
      </w:r>
      <w:r>
        <w:rPr>
          <w:rFonts w:ascii="宋体" w:hAnsi="宋体"/>
          <w:szCs w:val="28"/>
          <w:u w:val="single"/>
        </w:rPr>
        <w:t xml:space="preserve">                     </w:t>
      </w:r>
    </w:p>
    <w:p>
      <w:pPr>
        <w:pStyle w:val="22"/>
        <w:adjustRightInd w:val="0"/>
        <w:snapToGrid w:val="0"/>
        <w:spacing w:line="500" w:lineRule="exact"/>
        <w:ind w:firstLine="560" w:firstLineChars="200"/>
        <w:rPr>
          <w:rFonts w:ascii="宋体" w:hAnsi="宋体"/>
          <w:szCs w:val="28"/>
        </w:rPr>
      </w:pPr>
      <w:r>
        <w:rPr>
          <w:rFonts w:hint="eastAsia" w:ascii="宋体" w:hAnsi="宋体"/>
          <w:szCs w:val="28"/>
        </w:rPr>
        <w:t>通讯地址：</w:t>
      </w:r>
      <w:r>
        <w:rPr>
          <w:rFonts w:ascii="宋体" w:hAnsi="宋体"/>
          <w:szCs w:val="28"/>
          <w:u w:val="single"/>
        </w:rPr>
        <w:t xml:space="preserve">                       </w:t>
      </w:r>
    </w:p>
    <w:p>
      <w:pPr>
        <w:pStyle w:val="22"/>
        <w:adjustRightInd w:val="0"/>
        <w:snapToGrid w:val="0"/>
        <w:spacing w:line="500" w:lineRule="exact"/>
        <w:ind w:firstLine="560" w:firstLineChars="200"/>
        <w:rPr>
          <w:rFonts w:ascii="宋体" w:hAnsi="宋体"/>
          <w:szCs w:val="28"/>
        </w:rPr>
      </w:pPr>
      <w:r>
        <w:rPr>
          <w:rFonts w:hint="eastAsia" w:ascii="宋体" w:hAnsi="宋体"/>
          <w:szCs w:val="28"/>
        </w:rPr>
        <w:t>电话号码：</w:t>
      </w:r>
      <w:r>
        <w:rPr>
          <w:rFonts w:ascii="宋体" w:hAnsi="宋体"/>
          <w:szCs w:val="28"/>
          <w:u w:val="single"/>
        </w:rPr>
        <w:t xml:space="preserve">                   </w:t>
      </w:r>
      <w:r>
        <w:rPr>
          <w:rFonts w:hint="eastAsia" w:ascii="宋体" w:hAnsi="宋体"/>
          <w:szCs w:val="28"/>
        </w:rPr>
        <w:t>邮政编码：</w:t>
      </w:r>
      <w:r>
        <w:rPr>
          <w:rFonts w:ascii="宋体" w:hAnsi="宋体"/>
          <w:szCs w:val="28"/>
          <w:u w:val="single"/>
        </w:rPr>
        <w:t xml:space="preserve">               </w:t>
      </w:r>
    </w:p>
    <w:p>
      <w:pPr>
        <w:pStyle w:val="22"/>
        <w:adjustRightInd w:val="0"/>
        <w:snapToGrid w:val="0"/>
        <w:spacing w:line="500" w:lineRule="exact"/>
        <w:rPr>
          <w:rFonts w:ascii="宋体" w:hAnsi="宋体"/>
          <w:szCs w:val="28"/>
        </w:rPr>
      </w:pPr>
      <w:r>
        <w:rPr>
          <w:rFonts w:ascii="宋体" w:hAnsi="宋体"/>
          <w:szCs w:val="28"/>
        </w:rPr>
        <w:t xml:space="preserve"> </w:t>
      </w:r>
    </w:p>
    <w:tbl>
      <w:tblPr>
        <w:tblStyle w:val="13"/>
        <w:tblW w:w="7371"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8" w:hRule="atLeast"/>
        </w:trPr>
        <w:tc>
          <w:tcPr>
            <w:tcW w:w="7371" w:type="dxa"/>
            <w:tcBorders>
              <w:top w:val="single" w:color="auto" w:sz="4" w:space="0"/>
              <w:left w:val="single" w:color="auto" w:sz="4" w:space="0"/>
              <w:bottom w:val="single" w:color="auto" w:sz="4" w:space="0"/>
              <w:right w:val="single" w:color="auto" w:sz="4" w:space="0"/>
            </w:tcBorders>
          </w:tcPr>
          <w:p>
            <w:pPr>
              <w:pStyle w:val="22"/>
              <w:adjustRightInd w:val="0"/>
              <w:snapToGrid w:val="0"/>
              <w:spacing w:line="500" w:lineRule="exact"/>
              <w:jc w:val="center"/>
              <w:rPr>
                <w:rFonts w:ascii="宋体" w:hAnsi="宋体"/>
                <w:szCs w:val="28"/>
              </w:rPr>
            </w:pPr>
          </w:p>
          <w:p>
            <w:pPr>
              <w:pStyle w:val="22"/>
              <w:adjustRightInd w:val="0"/>
              <w:snapToGrid w:val="0"/>
              <w:spacing w:line="500" w:lineRule="exact"/>
              <w:jc w:val="center"/>
              <w:rPr>
                <w:rFonts w:ascii="宋体" w:hAnsi="宋体"/>
                <w:szCs w:val="28"/>
              </w:rPr>
            </w:pPr>
          </w:p>
          <w:p>
            <w:pPr>
              <w:pStyle w:val="22"/>
              <w:adjustRightInd w:val="0"/>
              <w:snapToGrid w:val="0"/>
              <w:spacing w:line="500" w:lineRule="exact"/>
              <w:jc w:val="center"/>
              <w:rPr>
                <w:rFonts w:ascii="宋体" w:hAnsi="宋体"/>
                <w:szCs w:val="28"/>
              </w:rPr>
            </w:pPr>
            <w:r>
              <w:rPr>
                <w:rFonts w:hint="eastAsia" w:ascii="宋体" w:hAnsi="宋体"/>
                <w:szCs w:val="28"/>
              </w:rPr>
              <w:t>法定代表人《居民身份证》复印件</w:t>
            </w:r>
          </w:p>
        </w:tc>
      </w:tr>
    </w:tbl>
    <w:p>
      <w:pPr>
        <w:pStyle w:val="22"/>
        <w:adjustRightInd w:val="0"/>
        <w:snapToGrid w:val="0"/>
        <w:spacing w:line="500" w:lineRule="exact"/>
        <w:rPr>
          <w:rFonts w:ascii="宋体" w:hAnsi="宋体"/>
          <w:szCs w:val="28"/>
        </w:rPr>
      </w:pPr>
    </w:p>
    <w:p>
      <w:pPr>
        <w:pStyle w:val="22"/>
        <w:tabs>
          <w:tab w:val="left" w:pos="750"/>
        </w:tabs>
        <w:adjustRightInd w:val="0"/>
        <w:snapToGrid w:val="0"/>
        <w:spacing w:line="500" w:lineRule="exact"/>
        <w:rPr>
          <w:rFonts w:ascii="宋体" w:hAnsi="宋体"/>
          <w:szCs w:val="28"/>
        </w:rPr>
      </w:pPr>
      <w:r>
        <w:rPr>
          <w:rFonts w:ascii="宋体" w:hAnsi="宋体"/>
          <w:szCs w:val="28"/>
        </w:rPr>
        <w:t xml:space="preserve"> </w:t>
      </w:r>
      <w:r>
        <w:rPr>
          <w:rFonts w:ascii="宋体" w:hAnsi="宋体"/>
          <w:szCs w:val="28"/>
        </w:rPr>
        <w:tab/>
      </w:r>
      <w:r>
        <w:rPr>
          <w:rFonts w:hint="eastAsia" w:ascii="宋体" w:hAnsi="宋体"/>
          <w:szCs w:val="28"/>
        </w:rPr>
        <w:t>投标人名称（签章）：</w:t>
      </w:r>
      <w:r>
        <w:rPr>
          <w:rFonts w:ascii="宋体" w:hAnsi="宋体"/>
          <w:szCs w:val="28"/>
          <w:u w:val="single"/>
        </w:rPr>
        <w:t xml:space="preserve">           </w:t>
      </w:r>
    </w:p>
    <w:p>
      <w:pPr>
        <w:pStyle w:val="22"/>
        <w:tabs>
          <w:tab w:val="left" w:pos="750"/>
        </w:tabs>
        <w:adjustRightInd w:val="0"/>
        <w:snapToGrid w:val="0"/>
        <w:spacing w:line="500" w:lineRule="exact"/>
        <w:rPr>
          <w:rFonts w:ascii="宋体" w:hAnsi="宋体"/>
          <w:szCs w:val="28"/>
        </w:rPr>
      </w:pPr>
    </w:p>
    <w:p>
      <w:pPr>
        <w:pStyle w:val="22"/>
        <w:tabs>
          <w:tab w:val="left" w:pos="750"/>
        </w:tabs>
        <w:adjustRightInd w:val="0"/>
        <w:snapToGrid w:val="0"/>
        <w:spacing w:line="500" w:lineRule="exact"/>
        <w:ind w:firstLine="840" w:firstLineChars="300"/>
        <w:rPr>
          <w:rFonts w:ascii="宋体" w:hAnsi="宋体"/>
          <w:szCs w:val="28"/>
        </w:rPr>
      </w:pPr>
      <w:r>
        <w:rPr>
          <w:rFonts w:hint="eastAsia" w:ascii="宋体" w:hAnsi="宋体"/>
          <w:szCs w:val="28"/>
        </w:rPr>
        <w:t>法定代表人（签章）</w:t>
      </w:r>
      <w:r>
        <w:rPr>
          <w:rFonts w:ascii="宋体" w:hAnsi="宋体"/>
          <w:szCs w:val="28"/>
        </w:rPr>
        <w:t xml:space="preserve"> </w:t>
      </w:r>
      <w:r>
        <w:rPr>
          <w:rFonts w:hint="eastAsia" w:ascii="宋体" w:hAnsi="宋体"/>
          <w:szCs w:val="28"/>
        </w:rPr>
        <w:t>：</w:t>
      </w:r>
      <w:r>
        <w:rPr>
          <w:rFonts w:ascii="宋体" w:hAnsi="宋体"/>
          <w:szCs w:val="28"/>
          <w:u w:val="single"/>
        </w:rPr>
        <w:t xml:space="preserve">           </w:t>
      </w:r>
    </w:p>
    <w:p>
      <w:pPr>
        <w:pStyle w:val="22"/>
        <w:tabs>
          <w:tab w:val="left" w:pos="750"/>
        </w:tabs>
        <w:adjustRightInd w:val="0"/>
        <w:snapToGrid w:val="0"/>
        <w:spacing w:line="500" w:lineRule="exact"/>
        <w:rPr>
          <w:rFonts w:ascii="宋体" w:hAnsi="宋体"/>
          <w:szCs w:val="28"/>
        </w:rPr>
      </w:pPr>
    </w:p>
    <w:p>
      <w:pPr>
        <w:pStyle w:val="22"/>
        <w:tabs>
          <w:tab w:val="left" w:pos="750"/>
        </w:tabs>
        <w:adjustRightInd w:val="0"/>
        <w:snapToGrid w:val="0"/>
        <w:spacing w:line="500" w:lineRule="exact"/>
        <w:ind w:firstLine="840" w:firstLineChars="300"/>
        <w:rPr>
          <w:rFonts w:ascii="宋体" w:hAnsi="宋体"/>
          <w:szCs w:val="28"/>
        </w:rPr>
      </w:pPr>
      <w:r>
        <w:rPr>
          <w:rFonts w:hint="eastAsia" w:ascii="宋体" w:hAnsi="宋体"/>
          <w:szCs w:val="28"/>
        </w:rPr>
        <w:t>日期：</w:t>
      </w:r>
      <w:r>
        <w:rPr>
          <w:rFonts w:ascii="宋体" w:hAnsi="宋体"/>
          <w:szCs w:val="28"/>
          <w:u w:val="single"/>
        </w:rPr>
        <w:t xml:space="preserve">           </w:t>
      </w:r>
      <w:r>
        <w:rPr>
          <w:rFonts w:hint="eastAsia" w:ascii="宋体" w:hAnsi="宋体"/>
          <w:szCs w:val="28"/>
        </w:rPr>
        <w:t>年</w:t>
      </w:r>
      <w:r>
        <w:rPr>
          <w:rFonts w:ascii="宋体" w:hAnsi="宋体"/>
          <w:szCs w:val="28"/>
          <w:u w:val="single"/>
        </w:rPr>
        <w:t xml:space="preserve">           </w:t>
      </w:r>
      <w:r>
        <w:rPr>
          <w:rFonts w:hint="eastAsia" w:ascii="宋体" w:hAnsi="宋体"/>
          <w:szCs w:val="28"/>
        </w:rPr>
        <w:t>月</w:t>
      </w:r>
      <w:r>
        <w:rPr>
          <w:rFonts w:ascii="宋体" w:hAnsi="宋体"/>
          <w:szCs w:val="28"/>
          <w:u w:val="single"/>
        </w:rPr>
        <w:t xml:space="preserve">           </w:t>
      </w:r>
      <w:r>
        <w:rPr>
          <w:rFonts w:hint="eastAsia" w:ascii="宋体" w:hAnsi="宋体"/>
          <w:szCs w:val="28"/>
        </w:rPr>
        <w:t>日</w:t>
      </w:r>
    </w:p>
    <w:p>
      <w:pPr>
        <w:pStyle w:val="22"/>
        <w:adjustRightInd w:val="0"/>
        <w:snapToGrid w:val="0"/>
        <w:spacing w:line="500" w:lineRule="exact"/>
        <w:rPr>
          <w:rFonts w:ascii="宋体" w:hAnsi="宋体"/>
          <w:szCs w:val="28"/>
        </w:rPr>
      </w:pPr>
      <w:r>
        <w:rPr>
          <w:rFonts w:ascii="宋体" w:hAnsi="宋体"/>
          <w:szCs w:val="28"/>
        </w:rPr>
        <w:t xml:space="preserve"> </w:t>
      </w:r>
    </w:p>
    <w:p>
      <w:pPr>
        <w:pStyle w:val="22"/>
        <w:spacing w:line="500" w:lineRule="exact"/>
        <w:rPr>
          <w:rFonts w:ascii="宋体" w:hAnsi="宋体"/>
          <w:b/>
          <w:szCs w:val="28"/>
        </w:rPr>
      </w:pPr>
    </w:p>
    <w:p>
      <w:pPr>
        <w:pStyle w:val="35"/>
        <w:jc w:val="center"/>
        <w:rPr>
          <w:rFonts w:ascii="宋体" w:hAnsi="宋体"/>
        </w:rPr>
      </w:pPr>
      <w:r>
        <w:rPr>
          <w:rFonts w:ascii="宋体" w:hAnsi="宋体"/>
        </w:rPr>
        <w:br w:type="page"/>
      </w:r>
      <w:bookmarkStart w:id="132" w:name="_Toc5974931"/>
      <w:bookmarkStart w:id="133" w:name="_Toc519362008"/>
      <w:r>
        <w:rPr>
          <w:rFonts w:hint="eastAsia" w:ascii="宋体" w:hAnsi="宋体"/>
        </w:rPr>
        <w:t>法定代表人授权书</w:t>
      </w:r>
      <w:bookmarkEnd w:id="132"/>
      <w:bookmarkEnd w:id="133"/>
    </w:p>
    <w:p>
      <w:pPr>
        <w:pStyle w:val="22"/>
        <w:spacing w:line="500" w:lineRule="exact"/>
        <w:rPr>
          <w:rFonts w:ascii="宋体" w:hAnsi="宋体"/>
          <w:szCs w:val="28"/>
        </w:rPr>
      </w:pPr>
      <w:r>
        <w:rPr>
          <w:rFonts w:hint="eastAsia" w:ascii="宋体" w:hAnsi="宋体"/>
          <w:szCs w:val="28"/>
          <w:u w:val="single"/>
        </w:rPr>
        <w:t>（代理机构名称）</w:t>
      </w:r>
      <w:r>
        <w:rPr>
          <w:rFonts w:hint="eastAsia" w:ascii="宋体" w:hAnsi="宋体"/>
          <w:szCs w:val="28"/>
        </w:rPr>
        <w:t>：</w:t>
      </w:r>
    </w:p>
    <w:p>
      <w:pPr>
        <w:pStyle w:val="22"/>
        <w:spacing w:line="500" w:lineRule="exact"/>
        <w:ind w:firstLine="560" w:firstLineChars="200"/>
        <w:rPr>
          <w:rFonts w:ascii="宋体" w:hAnsi="宋体"/>
          <w:szCs w:val="28"/>
        </w:rPr>
      </w:pPr>
      <w:r>
        <w:rPr>
          <w:rFonts w:hint="eastAsia" w:ascii="宋体" w:hAnsi="宋体"/>
          <w:szCs w:val="28"/>
        </w:rPr>
        <w:t>兹授权</w:t>
      </w:r>
      <w:r>
        <w:rPr>
          <w:rFonts w:ascii="宋体" w:hAnsi="宋体"/>
          <w:szCs w:val="28"/>
          <w:u w:val="single"/>
        </w:rPr>
        <w:t xml:space="preserve">           </w:t>
      </w:r>
      <w:r>
        <w:rPr>
          <w:rFonts w:hint="eastAsia" w:ascii="宋体" w:hAnsi="宋体"/>
          <w:szCs w:val="28"/>
        </w:rPr>
        <w:t>同志为我公司参加贵单位组织的编号为</w:t>
      </w:r>
      <w:r>
        <w:rPr>
          <w:rFonts w:hint="eastAsia" w:ascii="宋体" w:hAnsi="宋体"/>
          <w:szCs w:val="28"/>
          <w:u w:val="single"/>
        </w:rPr>
        <w:t>（项目编号）</w:t>
      </w:r>
      <w:r>
        <w:rPr>
          <w:rFonts w:hint="eastAsia" w:ascii="宋体" w:hAnsi="宋体"/>
          <w:szCs w:val="28"/>
        </w:rPr>
        <w:t>的</w:t>
      </w:r>
      <w:r>
        <w:rPr>
          <w:rFonts w:hint="eastAsia" w:ascii="宋体" w:hAnsi="宋体"/>
          <w:szCs w:val="28"/>
          <w:u w:val="single"/>
        </w:rPr>
        <w:t>（项</w:t>
      </w:r>
      <w:r>
        <w:rPr>
          <w:rFonts w:ascii="宋体" w:hAnsi="宋体"/>
          <w:szCs w:val="28"/>
          <w:u w:val="single"/>
        </w:rPr>
        <w:t xml:space="preserve"> </w:t>
      </w:r>
      <w:r>
        <w:rPr>
          <w:rFonts w:hint="eastAsia" w:ascii="宋体" w:hAnsi="宋体"/>
          <w:szCs w:val="28"/>
          <w:u w:val="single"/>
        </w:rPr>
        <w:t>目</w:t>
      </w:r>
      <w:r>
        <w:rPr>
          <w:rFonts w:ascii="宋体" w:hAnsi="宋体"/>
          <w:szCs w:val="28"/>
          <w:u w:val="single"/>
        </w:rPr>
        <w:t xml:space="preserve"> </w:t>
      </w:r>
      <w:r>
        <w:rPr>
          <w:rFonts w:hint="eastAsia" w:ascii="宋体" w:hAnsi="宋体"/>
          <w:szCs w:val="28"/>
          <w:u w:val="single"/>
        </w:rPr>
        <w:t>名</w:t>
      </w:r>
      <w:r>
        <w:rPr>
          <w:rFonts w:ascii="宋体" w:hAnsi="宋体"/>
          <w:szCs w:val="28"/>
          <w:u w:val="single"/>
        </w:rPr>
        <w:t xml:space="preserve"> </w:t>
      </w:r>
      <w:r>
        <w:rPr>
          <w:rFonts w:hint="eastAsia" w:ascii="宋体" w:hAnsi="宋体"/>
          <w:szCs w:val="28"/>
          <w:u w:val="single"/>
        </w:rPr>
        <w:t>称）</w:t>
      </w:r>
      <w:r>
        <w:rPr>
          <w:rFonts w:hint="eastAsia" w:ascii="宋体" w:hAnsi="宋体"/>
          <w:szCs w:val="28"/>
        </w:rPr>
        <w:t>采购活动的投标代表人，全权代表我公司处理在该项目采购活动中的一切事宜。代理期限从</w:t>
      </w:r>
      <w:r>
        <w:rPr>
          <w:rFonts w:ascii="宋体" w:hAnsi="宋体"/>
          <w:szCs w:val="28"/>
          <w:u w:val="single"/>
        </w:rPr>
        <w:t xml:space="preserve">      </w:t>
      </w:r>
      <w:r>
        <w:rPr>
          <w:rFonts w:hint="eastAsia" w:ascii="宋体" w:hAnsi="宋体"/>
          <w:szCs w:val="28"/>
        </w:rPr>
        <w:t>年</w:t>
      </w:r>
      <w:r>
        <w:rPr>
          <w:rFonts w:ascii="宋体" w:hAnsi="宋体"/>
          <w:szCs w:val="28"/>
          <w:u w:val="single"/>
        </w:rPr>
        <w:t xml:space="preserve">    </w:t>
      </w:r>
      <w:r>
        <w:rPr>
          <w:rFonts w:hint="eastAsia" w:ascii="宋体" w:hAnsi="宋体"/>
          <w:szCs w:val="28"/>
        </w:rPr>
        <w:t>月</w:t>
      </w:r>
      <w:r>
        <w:rPr>
          <w:rFonts w:ascii="宋体" w:hAnsi="宋体"/>
          <w:szCs w:val="28"/>
          <w:u w:val="single"/>
        </w:rPr>
        <w:t xml:space="preserve">    </w:t>
      </w:r>
      <w:r>
        <w:rPr>
          <w:rFonts w:hint="eastAsia" w:ascii="宋体" w:hAnsi="宋体"/>
          <w:szCs w:val="28"/>
        </w:rPr>
        <w:t>日起至</w:t>
      </w:r>
      <w:r>
        <w:rPr>
          <w:rFonts w:ascii="宋体" w:hAnsi="宋体"/>
          <w:szCs w:val="28"/>
          <w:u w:val="single"/>
        </w:rPr>
        <w:t xml:space="preserve">      </w:t>
      </w:r>
      <w:r>
        <w:rPr>
          <w:rFonts w:hint="eastAsia" w:ascii="宋体" w:hAnsi="宋体"/>
          <w:szCs w:val="28"/>
        </w:rPr>
        <w:t>年</w:t>
      </w:r>
      <w:r>
        <w:rPr>
          <w:rFonts w:ascii="宋体" w:hAnsi="宋体"/>
          <w:szCs w:val="28"/>
          <w:u w:val="single"/>
        </w:rPr>
        <w:t xml:space="preserve">    </w:t>
      </w:r>
      <w:r>
        <w:rPr>
          <w:rFonts w:hint="eastAsia" w:ascii="宋体" w:hAnsi="宋体"/>
          <w:szCs w:val="28"/>
        </w:rPr>
        <w:t>月</w:t>
      </w:r>
      <w:r>
        <w:rPr>
          <w:rFonts w:ascii="宋体" w:hAnsi="宋体"/>
          <w:szCs w:val="28"/>
          <w:u w:val="single"/>
        </w:rPr>
        <w:t xml:space="preserve">    </w:t>
      </w:r>
      <w:r>
        <w:rPr>
          <w:rFonts w:hint="eastAsia" w:ascii="宋体" w:hAnsi="宋体"/>
          <w:szCs w:val="28"/>
        </w:rPr>
        <w:t>日止。</w:t>
      </w:r>
      <w:r>
        <w:rPr>
          <w:rFonts w:ascii="宋体" w:hAnsi="宋体"/>
          <w:szCs w:val="28"/>
        </w:rPr>
        <w:t xml:space="preserve"> </w:t>
      </w:r>
    </w:p>
    <w:p>
      <w:pPr>
        <w:pStyle w:val="22"/>
        <w:spacing w:line="500" w:lineRule="exact"/>
        <w:rPr>
          <w:rFonts w:ascii="宋体" w:hAnsi="宋体"/>
          <w:szCs w:val="28"/>
        </w:rPr>
      </w:pPr>
    </w:p>
    <w:p>
      <w:pPr>
        <w:pStyle w:val="22"/>
        <w:spacing w:line="500" w:lineRule="exact"/>
        <w:rPr>
          <w:rFonts w:ascii="宋体" w:hAnsi="宋体"/>
          <w:szCs w:val="28"/>
        </w:rPr>
      </w:pPr>
      <w:r>
        <w:rPr>
          <w:rFonts w:hint="eastAsia" w:ascii="宋体" w:hAnsi="宋体"/>
          <w:szCs w:val="28"/>
        </w:rPr>
        <w:t>投标人（签章）：</w:t>
      </w:r>
      <w:r>
        <w:rPr>
          <w:rFonts w:ascii="宋体" w:hAnsi="宋体"/>
          <w:szCs w:val="28"/>
          <w:u w:val="single"/>
        </w:rPr>
        <w:t xml:space="preserve">               </w:t>
      </w:r>
    </w:p>
    <w:p>
      <w:pPr>
        <w:pStyle w:val="22"/>
        <w:spacing w:line="500" w:lineRule="exact"/>
        <w:rPr>
          <w:rFonts w:ascii="宋体" w:hAnsi="宋体"/>
          <w:szCs w:val="28"/>
        </w:rPr>
      </w:pPr>
      <w:r>
        <w:rPr>
          <w:rFonts w:hint="eastAsia" w:ascii="宋体" w:hAnsi="宋体"/>
          <w:szCs w:val="28"/>
        </w:rPr>
        <w:t>法定代表人（签章）：</w:t>
      </w:r>
      <w:r>
        <w:rPr>
          <w:rFonts w:ascii="宋体" w:hAnsi="宋体"/>
          <w:szCs w:val="28"/>
          <w:u w:val="single"/>
        </w:rPr>
        <w:t xml:space="preserve">       </w:t>
      </w:r>
    </w:p>
    <w:p>
      <w:pPr>
        <w:pStyle w:val="22"/>
        <w:spacing w:line="500" w:lineRule="exact"/>
        <w:rPr>
          <w:rFonts w:ascii="宋体" w:hAnsi="宋体"/>
          <w:szCs w:val="28"/>
        </w:rPr>
      </w:pPr>
      <w:r>
        <w:rPr>
          <w:rFonts w:hint="eastAsia" w:ascii="宋体" w:hAnsi="宋体"/>
          <w:szCs w:val="28"/>
        </w:rPr>
        <w:t>签发日期：</w:t>
      </w:r>
      <w:r>
        <w:rPr>
          <w:rFonts w:ascii="宋体" w:hAnsi="宋体"/>
          <w:szCs w:val="28"/>
          <w:u w:val="single"/>
        </w:rPr>
        <w:t xml:space="preserve">       </w:t>
      </w:r>
      <w:r>
        <w:rPr>
          <w:rFonts w:hint="eastAsia" w:ascii="宋体" w:hAnsi="宋体"/>
          <w:szCs w:val="28"/>
        </w:rPr>
        <w:t>年</w:t>
      </w:r>
      <w:r>
        <w:rPr>
          <w:rFonts w:ascii="宋体" w:hAnsi="宋体"/>
          <w:szCs w:val="28"/>
          <w:u w:val="single"/>
        </w:rPr>
        <w:t xml:space="preserve">     </w:t>
      </w:r>
      <w:r>
        <w:rPr>
          <w:rFonts w:hint="eastAsia" w:ascii="宋体" w:hAnsi="宋体"/>
          <w:szCs w:val="28"/>
        </w:rPr>
        <w:t>月</w:t>
      </w:r>
      <w:r>
        <w:rPr>
          <w:rFonts w:ascii="宋体" w:hAnsi="宋体"/>
          <w:szCs w:val="28"/>
          <w:u w:val="single"/>
        </w:rPr>
        <w:t xml:space="preserve">     </w:t>
      </w:r>
      <w:r>
        <w:rPr>
          <w:rFonts w:hint="eastAsia" w:ascii="宋体" w:hAnsi="宋体"/>
          <w:szCs w:val="28"/>
        </w:rPr>
        <w:t>日</w:t>
      </w:r>
    </w:p>
    <w:p>
      <w:pPr>
        <w:pStyle w:val="22"/>
        <w:spacing w:line="500" w:lineRule="exact"/>
        <w:rPr>
          <w:rFonts w:ascii="宋体" w:hAnsi="宋体"/>
          <w:szCs w:val="28"/>
        </w:rPr>
      </w:pPr>
    </w:p>
    <w:p>
      <w:pPr>
        <w:pStyle w:val="22"/>
        <w:spacing w:line="500" w:lineRule="exact"/>
        <w:rPr>
          <w:rFonts w:ascii="宋体" w:hAnsi="宋体"/>
          <w:szCs w:val="28"/>
        </w:rPr>
      </w:pPr>
      <w:r>
        <w:rPr>
          <w:rFonts w:hint="eastAsia" w:ascii="宋体" w:hAnsi="宋体"/>
          <w:szCs w:val="28"/>
        </w:rPr>
        <w:t>附：</w:t>
      </w:r>
    </w:p>
    <w:p>
      <w:pPr>
        <w:pStyle w:val="22"/>
        <w:spacing w:line="500" w:lineRule="exact"/>
        <w:rPr>
          <w:rFonts w:ascii="宋体" w:hAnsi="宋体"/>
          <w:szCs w:val="28"/>
        </w:rPr>
      </w:pPr>
      <w:r>
        <w:rPr>
          <w:rFonts w:hint="eastAsia" w:ascii="宋体" w:hAnsi="宋体"/>
          <w:szCs w:val="28"/>
        </w:rPr>
        <w:t>代理人工作单位：</w:t>
      </w:r>
      <w:r>
        <w:rPr>
          <w:rFonts w:ascii="宋体" w:hAnsi="宋体"/>
          <w:szCs w:val="28"/>
          <w:u w:val="single"/>
        </w:rPr>
        <w:t xml:space="preserve">                          </w:t>
      </w:r>
    </w:p>
    <w:p>
      <w:pPr>
        <w:pStyle w:val="22"/>
        <w:spacing w:line="500" w:lineRule="exact"/>
        <w:rPr>
          <w:rFonts w:ascii="宋体" w:hAnsi="宋体"/>
          <w:szCs w:val="28"/>
        </w:rPr>
      </w:pPr>
      <w:r>
        <w:rPr>
          <w:rFonts w:hint="eastAsia" w:ascii="宋体" w:hAnsi="宋体"/>
          <w:szCs w:val="28"/>
        </w:rPr>
        <w:t>职务：</w:t>
      </w:r>
      <w:r>
        <w:rPr>
          <w:rFonts w:ascii="宋体" w:hAnsi="宋体"/>
          <w:szCs w:val="28"/>
          <w:u w:val="single"/>
        </w:rPr>
        <w:t xml:space="preserve">                    </w:t>
      </w:r>
      <w:r>
        <w:rPr>
          <w:rFonts w:ascii="宋体" w:hAnsi="宋体"/>
          <w:szCs w:val="28"/>
        </w:rPr>
        <w:t xml:space="preserve">    性别：</w:t>
      </w:r>
      <w:r>
        <w:rPr>
          <w:rFonts w:ascii="宋体" w:hAnsi="宋体"/>
          <w:szCs w:val="28"/>
          <w:u w:val="single"/>
        </w:rPr>
        <w:t xml:space="preserve">      </w:t>
      </w:r>
    </w:p>
    <w:p>
      <w:pPr>
        <w:pStyle w:val="22"/>
        <w:adjustRightInd w:val="0"/>
        <w:snapToGrid w:val="0"/>
        <w:spacing w:line="500" w:lineRule="exact"/>
        <w:rPr>
          <w:rFonts w:ascii="宋体" w:hAnsi="宋体"/>
          <w:szCs w:val="28"/>
          <w:u w:val="single"/>
        </w:rPr>
      </w:pPr>
      <w:r>
        <w:rPr>
          <w:rFonts w:hint="eastAsia" w:ascii="宋体" w:hAnsi="宋体"/>
          <w:szCs w:val="28"/>
        </w:rPr>
        <w:t>身份证号码：</w:t>
      </w:r>
      <w:r>
        <w:rPr>
          <w:rFonts w:ascii="宋体" w:hAnsi="宋体"/>
          <w:szCs w:val="28"/>
          <w:u w:val="single"/>
        </w:rPr>
        <w:t xml:space="preserve">                              </w:t>
      </w:r>
    </w:p>
    <w:p>
      <w:pPr>
        <w:pStyle w:val="22"/>
        <w:adjustRightInd w:val="0"/>
        <w:snapToGrid w:val="0"/>
        <w:spacing w:line="500" w:lineRule="exact"/>
        <w:ind w:left="-88" w:leftChars="-42" w:firstLine="700" w:firstLineChars="250"/>
        <w:rPr>
          <w:rFonts w:ascii="宋体" w:hAnsi="宋体"/>
          <w:szCs w:val="28"/>
          <w:u w:val="single"/>
        </w:rPr>
      </w:pPr>
    </w:p>
    <w:tbl>
      <w:tblPr>
        <w:tblStyle w:val="13"/>
        <w:tblW w:w="7668" w:type="dxa"/>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2" w:hRule="atLeast"/>
        </w:trPr>
        <w:tc>
          <w:tcPr>
            <w:tcW w:w="7668" w:type="dxa"/>
            <w:tcBorders>
              <w:top w:val="single" w:color="auto" w:sz="4" w:space="0"/>
              <w:left w:val="single" w:color="auto" w:sz="4" w:space="0"/>
              <w:bottom w:val="single" w:color="auto" w:sz="4" w:space="0"/>
              <w:right w:val="single" w:color="auto" w:sz="4" w:space="0"/>
            </w:tcBorders>
          </w:tcPr>
          <w:p>
            <w:pPr>
              <w:pStyle w:val="22"/>
              <w:spacing w:line="500" w:lineRule="exact"/>
              <w:rPr>
                <w:rFonts w:ascii="宋体" w:hAnsi="宋体"/>
                <w:szCs w:val="28"/>
              </w:rPr>
            </w:pPr>
            <w:r>
              <w:rPr>
                <w:rFonts w:hint="eastAsia" w:ascii="宋体" w:hAnsi="宋体"/>
                <w:szCs w:val="28"/>
              </w:rPr>
              <w:t>粘贴被授权人身份证（复印件）</w:t>
            </w:r>
          </w:p>
        </w:tc>
      </w:tr>
    </w:tbl>
    <w:p>
      <w:pPr>
        <w:pStyle w:val="22"/>
        <w:autoSpaceDE w:val="0"/>
        <w:autoSpaceDN w:val="0"/>
        <w:spacing w:line="500" w:lineRule="exact"/>
        <w:ind w:left="480" w:hanging="480"/>
        <w:rPr>
          <w:rFonts w:ascii="宋体" w:hAnsi="宋体"/>
          <w:szCs w:val="28"/>
        </w:rPr>
      </w:pPr>
    </w:p>
    <w:p>
      <w:pPr>
        <w:pStyle w:val="35"/>
        <w:jc w:val="center"/>
        <w:rPr>
          <w:rFonts w:ascii="宋体" w:hAnsi="宋体"/>
        </w:rPr>
      </w:pPr>
      <w:r>
        <w:rPr>
          <w:rFonts w:ascii="宋体" w:hAnsi="宋体"/>
        </w:rPr>
        <w:br w:type="page"/>
      </w:r>
      <w:bookmarkStart w:id="134" w:name="_Toc5974932"/>
      <w:bookmarkStart w:id="135" w:name="_Toc519362009"/>
      <w:r>
        <w:rPr>
          <w:rFonts w:hint="eastAsia" w:ascii="宋体" w:hAnsi="宋体"/>
        </w:rPr>
        <w:t>投标人的资格声明</w:t>
      </w:r>
      <w:bookmarkEnd w:id="134"/>
      <w:bookmarkEnd w:id="135"/>
    </w:p>
    <w:p>
      <w:pPr>
        <w:pStyle w:val="22"/>
        <w:spacing w:line="500" w:lineRule="exact"/>
        <w:rPr>
          <w:rFonts w:ascii="宋体" w:hAnsi="宋体"/>
          <w:szCs w:val="28"/>
        </w:rPr>
      </w:pPr>
      <w:r>
        <w:rPr>
          <w:rFonts w:ascii="宋体" w:hAnsi="宋体"/>
          <w:szCs w:val="28"/>
        </w:rPr>
        <w:t>1、名称及基本情况：</w:t>
      </w:r>
    </w:p>
    <w:p>
      <w:pPr>
        <w:pStyle w:val="22"/>
        <w:spacing w:line="500" w:lineRule="exact"/>
        <w:ind w:firstLine="280" w:firstLineChars="100"/>
        <w:rPr>
          <w:rFonts w:ascii="宋体" w:hAnsi="宋体"/>
          <w:szCs w:val="28"/>
        </w:rPr>
      </w:pPr>
      <w:r>
        <w:rPr>
          <w:rFonts w:hint="eastAsia" w:ascii="宋体" w:hAnsi="宋体"/>
          <w:szCs w:val="28"/>
        </w:rPr>
        <w:t>（</w:t>
      </w:r>
      <w:r>
        <w:rPr>
          <w:rFonts w:ascii="宋体" w:hAnsi="宋体"/>
          <w:szCs w:val="28"/>
        </w:rPr>
        <w:t>1）投标人名称：</w:t>
      </w:r>
      <w:r>
        <w:rPr>
          <w:rFonts w:ascii="宋体" w:hAnsi="宋体"/>
          <w:szCs w:val="28"/>
          <w:u w:val="single"/>
        </w:rPr>
        <w:t xml:space="preserve">                  </w:t>
      </w:r>
    </w:p>
    <w:p>
      <w:pPr>
        <w:pStyle w:val="22"/>
        <w:spacing w:line="500" w:lineRule="exact"/>
        <w:ind w:firstLine="280" w:firstLineChars="100"/>
        <w:rPr>
          <w:rFonts w:ascii="宋体" w:hAnsi="宋体"/>
          <w:szCs w:val="28"/>
        </w:rPr>
      </w:pPr>
      <w:r>
        <w:rPr>
          <w:rFonts w:hint="eastAsia" w:ascii="宋体" w:hAnsi="宋体"/>
          <w:szCs w:val="28"/>
        </w:rPr>
        <w:t>（</w:t>
      </w:r>
      <w:r>
        <w:rPr>
          <w:rFonts w:ascii="宋体" w:hAnsi="宋体"/>
          <w:szCs w:val="28"/>
        </w:rPr>
        <w:t>2）地址：</w:t>
      </w:r>
      <w:r>
        <w:rPr>
          <w:rFonts w:ascii="宋体" w:hAnsi="宋体"/>
          <w:szCs w:val="28"/>
          <w:u w:val="single"/>
        </w:rPr>
        <w:t xml:space="preserve">                        </w:t>
      </w:r>
      <w:r>
        <w:rPr>
          <w:rFonts w:ascii="宋体" w:hAnsi="宋体"/>
          <w:szCs w:val="28"/>
        </w:rPr>
        <w:t xml:space="preserve">   邮编：</w:t>
      </w:r>
      <w:r>
        <w:rPr>
          <w:rFonts w:ascii="宋体" w:hAnsi="宋体"/>
          <w:szCs w:val="28"/>
          <w:u w:val="single"/>
        </w:rPr>
        <w:t xml:space="preserve">             </w:t>
      </w:r>
    </w:p>
    <w:p>
      <w:pPr>
        <w:pStyle w:val="22"/>
        <w:spacing w:line="500" w:lineRule="exact"/>
        <w:ind w:firstLine="980" w:firstLineChars="350"/>
        <w:rPr>
          <w:rFonts w:ascii="宋体" w:hAnsi="宋体"/>
          <w:szCs w:val="28"/>
          <w:u w:val="single"/>
        </w:rPr>
      </w:pPr>
      <w:r>
        <w:rPr>
          <w:rFonts w:hint="eastAsia" w:ascii="宋体" w:hAnsi="宋体"/>
          <w:szCs w:val="28"/>
        </w:rPr>
        <w:t>电话：</w:t>
      </w:r>
      <w:r>
        <w:rPr>
          <w:rFonts w:ascii="宋体" w:hAnsi="宋体"/>
          <w:szCs w:val="28"/>
          <w:u w:val="single"/>
        </w:rPr>
        <w:t xml:space="preserve">                        </w:t>
      </w:r>
      <w:r>
        <w:rPr>
          <w:rFonts w:ascii="宋体" w:hAnsi="宋体"/>
          <w:szCs w:val="28"/>
        </w:rPr>
        <w:t xml:space="preserve">   传真：</w:t>
      </w:r>
      <w:r>
        <w:rPr>
          <w:rFonts w:ascii="宋体" w:hAnsi="宋体"/>
          <w:szCs w:val="28"/>
          <w:u w:val="single"/>
        </w:rPr>
        <w:t xml:space="preserve">             </w:t>
      </w:r>
    </w:p>
    <w:p>
      <w:pPr>
        <w:pStyle w:val="22"/>
        <w:spacing w:line="500" w:lineRule="exact"/>
        <w:ind w:firstLine="280" w:firstLineChars="100"/>
        <w:rPr>
          <w:rFonts w:ascii="宋体" w:hAnsi="宋体"/>
          <w:szCs w:val="28"/>
        </w:rPr>
      </w:pPr>
      <w:r>
        <w:rPr>
          <w:rFonts w:hint="eastAsia" w:ascii="宋体" w:hAnsi="宋体"/>
          <w:szCs w:val="28"/>
        </w:rPr>
        <w:t>（</w:t>
      </w:r>
      <w:r>
        <w:rPr>
          <w:rFonts w:ascii="宋体" w:hAnsi="宋体"/>
          <w:szCs w:val="28"/>
        </w:rPr>
        <w:t>3）成立或注册日期：</w:t>
      </w:r>
      <w:r>
        <w:rPr>
          <w:rFonts w:ascii="宋体" w:hAnsi="宋体"/>
          <w:szCs w:val="28"/>
          <w:u w:val="single"/>
        </w:rPr>
        <w:t xml:space="preserve">                         </w:t>
      </w:r>
    </w:p>
    <w:p>
      <w:pPr>
        <w:pStyle w:val="22"/>
        <w:spacing w:line="500" w:lineRule="exact"/>
        <w:ind w:firstLine="280" w:firstLineChars="100"/>
        <w:rPr>
          <w:rFonts w:ascii="宋体" w:hAnsi="宋体"/>
          <w:szCs w:val="28"/>
        </w:rPr>
      </w:pPr>
      <w:r>
        <w:rPr>
          <w:rFonts w:hint="eastAsia" w:ascii="宋体" w:hAnsi="宋体"/>
          <w:szCs w:val="28"/>
        </w:rPr>
        <w:t>（</w:t>
      </w:r>
      <w:r>
        <w:rPr>
          <w:rFonts w:ascii="宋体" w:hAnsi="宋体"/>
          <w:szCs w:val="28"/>
        </w:rPr>
        <w:t>4）公司性质：</w:t>
      </w:r>
      <w:r>
        <w:rPr>
          <w:rFonts w:ascii="宋体" w:hAnsi="宋体"/>
          <w:szCs w:val="28"/>
          <w:u w:val="single"/>
        </w:rPr>
        <w:t xml:space="preserve">                               </w:t>
      </w:r>
    </w:p>
    <w:p>
      <w:pPr>
        <w:pStyle w:val="22"/>
        <w:spacing w:line="500" w:lineRule="exact"/>
        <w:ind w:firstLine="280" w:firstLineChars="100"/>
        <w:rPr>
          <w:rFonts w:ascii="宋体" w:hAnsi="宋体"/>
          <w:szCs w:val="28"/>
        </w:rPr>
      </w:pPr>
      <w:r>
        <w:rPr>
          <w:rFonts w:hint="eastAsia" w:ascii="宋体" w:hAnsi="宋体"/>
          <w:szCs w:val="28"/>
        </w:rPr>
        <w:t>（</w:t>
      </w:r>
      <w:r>
        <w:rPr>
          <w:rFonts w:ascii="宋体" w:hAnsi="宋体"/>
          <w:szCs w:val="28"/>
        </w:rPr>
        <w:t>5）法定代表人或主要负责人：</w:t>
      </w:r>
      <w:r>
        <w:rPr>
          <w:rFonts w:ascii="宋体" w:hAnsi="宋体"/>
          <w:szCs w:val="28"/>
          <w:u w:val="single"/>
        </w:rPr>
        <w:t xml:space="preserve">                 </w:t>
      </w:r>
    </w:p>
    <w:p>
      <w:pPr>
        <w:pStyle w:val="22"/>
        <w:spacing w:line="500" w:lineRule="exact"/>
        <w:ind w:firstLine="280" w:firstLineChars="100"/>
        <w:rPr>
          <w:rFonts w:ascii="宋体" w:hAnsi="宋体"/>
          <w:szCs w:val="28"/>
        </w:rPr>
      </w:pPr>
      <w:r>
        <w:rPr>
          <w:rFonts w:hint="eastAsia" w:ascii="宋体" w:hAnsi="宋体"/>
          <w:szCs w:val="28"/>
        </w:rPr>
        <w:t>（</w:t>
      </w:r>
      <w:r>
        <w:rPr>
          <w:rFonts w:ascii="宋体" w:hAnsi="宋体"/>
          <w:szCs w:val="28"/>
        </w:rPr>
        <w:t>6）员工人数：</w:t>
      </w:r>
      <w:r>
        <w:rPr>
          <w:rFonts w:ascii="宋体" w:hAnsi="宋体"/>
          <w:szCs w:val="28"/>
          <w:u w:val="single"/>
        </w:rPr>
        <w:t xml:space="preserve">                               </w:t>
      </w:r>
    </w:p>
    <w:p>
      <w:pPr>
        <w:pStyle w:val="22"/>
        <w:spacing w:line="500" w:lineRule="exact"/>
        <w:ind w:firstLine="280" w:firstLineChars="100"/>
        <w:rPr>
          <w:rFonts w:ascii="宋体" w:hAnsi="宋体"/>
          <w:szCs w:val="28"/>
        </w:rPr>
      </w:pPr>
      <w:r>
        <w:rPr>
          <w:rFonts w:hint="eastAsia" w:ascii="宋体" w:hAnsi="宋体"/>
          <w:szCs w:val="28"/>
        </w:rPr>
        <w:t>（</w:t>
      </w:r>
      <w:r>
        <w:rPr>
          <w:rFonts w:ascii="宋体" w:hAnsi="宋体"/>
          <w:szCs w:val="28"/>
        </w:rPr>
        <w:t>7）注册资本：</w:t>
      </w:r>
      <w:r>
        <w:rPr>
          <w:rFonts w:ascii="宋体" w:hAnsi="宋体"/>
          <w:szCs w:val="28"/>
          <w:u w:val="single"/>
        </w:rPr>
        <w:t xml:space="preserve">                               </w:t>
      </w:r>
    </w:p>
    <w:p>
      <w:pPr>
        <w:pStyle w:val="22"/>
        <w:spacing w:line="500" w:lineRule="exact"/>
        <w:ind w:firstLine="280" w:firstLineChars="100"/>
        <w:rPr>
          <w:rFonts w:ascii="宋体" w:hAnsi="宋体"/>
          <w:szCs w:val="28"/>
        </w:rPr>
      </w:pPr>
      <w:r>
        <w:rPr>
          <w:rFonts w:hint="eastAsia" w:ascii="宋体" w:hAnsi="宋体"/>
          <w:szCs w:val="28"/>
        </w:rPr>
        <w:t>（</w:t>
      </w:r>
      <w:r>
        <w:rPr>
          <w:rFonts w:ascii="宋体" w:hAnsi="宋体"/>
          <w:szCs w:val="28"/>
        </w:rPr>
        <w:t>8）实收资本：</w:t>
      </w:r>
      <w:r>
        <w:rPr>
          <w:rFonts w:ascii="宋体" w:hAnsi="宋体"/>
          <w:szCs w:val="28"/>
          <w:u w:val="single"/>
        </w:rPr>
        <w:t xml:space="preserve">                               </w:t>
      </w:r>
    </w:p>
    <w:p>
      <w:pPr>
        <w:pStyle w:val="22"/>
        <w:spacing w:line="500" w:lineRule="exact"/>
        <w:ind w:firstLine="280" w:firstLineChars="100"/>
        <w:rPr>
          <w:rFonts w:ascii="宋体" w:hAnsi="宋体"/>
          <w:szCs w:val="28"/>
        </w:rPr>
      </w:pPr>
      <w:r>
        <w:rPr>
          <w:rFonts w:hint="eastAsia" w:ascii="宋体" w:hAnsi="宋体"/>
          <w:szCs w:val="28"/>
        </w:rPr>
        <w:t>（</w:t>
      </w:r>
      <w:r>
        <w:rPr>
          <w:rFonts w:ascii="宋体" w:hAnsi="宋体"/>
          <w:szCs w:val="28"/>
        </w:rPr>
        <w:t>9）上年末资产负债表：</w:t>
      </w:r>
      <w:r>
        <w:rPr>
          <w:rFonts w:ascii="宋体" w:hAnsi="宋体"/>
          <w:szCs w:val="28"/>
          <w:u w:val="single"/>
        </w:rPr>
        <w:t xml:space="preserve">                       </w:t>
      </w:r>
    </w:p>
    <w:p>
      <w:pPr>
        <w:pStyle w:val="22"/>
        <w:spacing w:line="500" w:lineRule="exact"/>
        <w:ind w:firstLine="980" w:firstLineChars="350"/>
        <w:rPr>
          <w:rFonts w:ascii="宋体" w:hAnsi="宋体"/>
          <w:szCs w:val="28"/>
        </w:rPr>
      </w:pPr>
      <w:r>
        <w:rPr>
          <w:rFonts w:ascii="宋体" w:hAnsi="宋体"/>
          <w:szCs w:val="28"/>
        </w:rPr>
        <w:t>1）固定资产</w:t>
      </w:r>
    </w:p>
    <w:p>
      <w:pPr>
        <w:pStyle w:val="22"/>
        <w:spacing w:line="500" w:lineRule="exact"/>
        <w:ind w:firstLine="1400" w:firstLineChars="500"/>
        <w:rPr>
          <w:rFonts w:ascii="宋体" w:hAnsi="宋体"/>
          <w:szCs w:val="28"/>
        </w:rPr>
      </w:pPr>
      <w:r>
        <w:rPr>
          <w:rFonts w:hint="eastAsia" w:ascii="宋体" w:hAnsi="宋体"/>
          <w:szCs w:val="28"/>
        </w:rPr>
        <w:t>原</w:t>
      </w:r>
      <w:r>
        <w:rPr>
          <w:rFonts w:ascii="宋体" w:hAnsi="宋体"/>
          <w:szCs w:val="28"/>
        </w:rPr>
        <w:t xml:space="preserve">   </w:t>
      </w:r>
      <w:r>
        <w:rPr>
          <w:rFonts w:hint="eastAsia" w:ascii="宋体" w:hAnsi="宋体"/>
          <w:szCs w:val="28"/>
        </w:rPr>
        <w:t>值：</w:t>
      </w:r>
      <w:r>
        <w:rPr>
          <w:rFonts w:ascii="宋体" w:hAnsi="宋体"/>
          <w:szCs w:val="28"/>
          <w:u w:val="single"/>
        </w:rPr>
        <w:t xml:space="preserve">           </w:t>
      </w:r>
      <w:r>
        <w:rPr>
          <w:rFonts w:ascii="宋体" w:hAnsi="宋体"/>
          <w:szCs w:val="28"/>
        </w:rPr>
        <w:t xml:space="preserve">    净   值： </w:t>
      </w:r>
      <w:r>
        <w:rPr>
          <w:rFonts w:ascii="宋体" w:hAnsi="宋体"/>
          <w:szCs w:val="28"/>
          <w:u w:val="single"/>
        </w:rPr>
        <w:t xml:space="preserve">               </w:t>
      </w:r>
    </w:p>
    <w:p>
      <w:pPr>
        <w:pStyle w:val="22"/>
        <w:spacing w:line="500" w:lineRule="exact"/>
        <w:ind w:firstLine="980" w:firstLineChars="350"/>
        <w:rPr>
          <w:rFonts w:ascii="宋体" w:hAnsi="宋体"/>
          <w:szCs w:val="28"/>
        </w:rPr>
      </w:pPr>
      <w:r>
        <w:rPr>
          <w:rFonts w:ascii="宋体" w:hAnsi="宋体"/>
          <w:szCs w:val="28"/>
        </w:rPr>
        <w:t>2）流动资金：</w:t>
      </w:r>
      <w:r>
        <w:rPr>
          <w:rFonts w:ascii="宋体" w:hAnsi="宋体"/>
          <w:szCs w:val="28"/>
          <w:u w:val="single"/>
        </w:rPr>
        <w:t xml:space="preserve">                            </w:t>
      </w:r>
    </w:p>
    <w:p>
      <w:pPr>
        <w:pStyle w:val="22"/>
        <w:spacing w:line="500" w:lineRule="exact"/>
        <w:ind w:firstLine="980" w:firstLineChars="350"/>
        <w:rPr>
          <w:rFonts w:ascii="宋体" w:hAnsi="宋体"/>
          <w:szCs w:val="28"/>
        </w:rPr>
      </w:pPr>
      <w:r>
        <w:rPr>
          <w:rFonts w:ascii="宋体" w:hAnsi="宋体"/>
          <w:szCs w:val="28"/>
        </w:rPr>
        <w:t>3）长期负债：</w:t>
      </w:r>
      <w:r>
        <w:rPr>
          <w:rFonts w:ascii="宋体" w:hAnsi="宋体"/>
          <w:szCs w:val="28"/>
          <w:u w:val="single"/>
        </w:rPr>
        <w:t xml:space="preserve">                            </w:t>
      </w:r>
    </w:p>
    <w:p>
      <w:pPr>
        <w:pStyle w:val="22"/>
        <w:spacing w:line="500" w:lineRule="exact"/>
        <w:ind w:firstLine="980" w:firstLineChars="350"/>
        <w:rPr>
          <w:rFonts w:ascii="宋体" w:hAnsi="宋体"/>
          <w:szCs w:val="28"/>
        </w:rPr>
      </w:pPr>
      <w:r>
        <w:rPr>
          <w:rFonts w:ascii="宋体" w:hAnsi="宋体"/>
          <w:szCs w:val="28"/>
        </w:rPr>
        <w:t>4）短期负债：</w:t>
      </w:r>
      <w:r>
        <w:rPr>
          <w:rFonts w:ascii="宋体" w:hAnsi="宋体"/>
          <w:szCs w:val="28"/>
          <w:u w:val="single"/>
        </w:rPr>
        <w:t xml:space="preserve">                            </w:t>
      </w:r>
    </w:p>
    <w:p>
      <w:pPr>
        <w:pStyle w:val="22"/>
        <w:spacing w:line="500" w:lineRule="exact"/>
        <w:rPr>
          <w:rFonts w:ascii="宋体" w:hAnsi="宋体"/>
          <w:szCs w:val="28"/>
        </w:rPr>
      </w:pPr>
      <w:r>
        <w:rPr>
          <w:rFonts w:ascii="宋体" w:hAnsi="宋体"/>
          <w:szCs w:val="28"/>
        </w:rPr>
        <w:t xml:space="preserve">2、与投标服务有关的情况： </w:t>
      </w:r>
    </w:p>
    <w:tbl>
      <w:tblPr>
        <w:tblStyle w:val="13"/>
        <w:tblW w:w="85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1979"/>
        <w:gridCol w:w="1619"/>
        <w:gridCol w:w="1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48" w:type="dxa"/>
            <w:tcBorders>
              <w:top w:val="single" w:color="auto" w:sz="4" w:space="0"/>
              <w:left w:val="single" w:color="auto" w:sz="4" w:space="0"/>
              <w:bottom w:val="single" w:color="auto" w:sz="4" w:space="0"/>
              <w:right w:val="single" w:color="auto" w:sz="4" w:space="0"/>
            </w:tcBorders>
            <w:vAlign w:val="center"/>
          </w:tcPr>
          <w:p>
            <w:pPr>
              <w:pStyle w:val="22"/>
              <w:adjustRightInd w:val="0"/>
              <w:snapToGrid w:val="0"/>
              <w:spacing w:before="100" w:beforeAutospacing="1" w:after="100" w:afterAutospacing="1" w:line="500" w:lineRule="exact"/>
              <w:jc w:val="center"/>
              <w:rPr>
                <w:rFonts w:ascii="宋体" w:hAnsi="宋体"/>
                <w:szCs w:val="28"/>
              </w:rPr>
            </w:pPr>
            <w:r>
              <w:rPr>
                <w:rFonts w:hint="eastAsia" w:ascii="宋体" w:hAnsi="宋体"/>
                <w:szCs w:val="28"/>
              </w:rPr>
              <w:t>销售服务网点名称和地址</w:t>
            </w:r>
          </w:p>
        </w:tc>
        <w:tc>
          <w:tcPr>
            <w:tcW w:w="1979" w:type="dxa"/>
            <w:tcBorders>
              <w:top w:val="single" w:color="auto" w:sz="4" w:space="0"/>
              <w:left w:val="single" w:color="auto" w:sz="4" w:space="0"/>
              <w:bottom w:val="single" w:color="auto" w:sz="4" w:space="0"/>
              <w:right w:val="single" w:color="auto" w:sz="4" w:space="0"/>
            </w:tcBorders>
            <w:vAlign w:val="center"/>
          </w:tcPr>
          <w:p>
            <w:pPr>
              <w:pStyle w:val="22"/>
              <w:adjustRightInd w:val="0"/>
              <w:snapToGrid w:val="0"/>
              <w:spacing w:before="100" w:beforeAutospacing="1" w:after="100" w:afterAutospacing="1" w:line="500" w:lineRule="exact"/>
              <w:jc w:val="center"/>
              <w:rPr>
                <w:rFonts w:ascii="宋体" w:hAnsi="宋体"/>
                <w:szCs w:val="28"/>
              </w:rPr>
            </w:pPr>
            <w:r>
              <w:rPr>
                <w:rFonts w:hint="eastAsia" w:ascii="宋体" w:hAnsi="宋体"/>
                <w:szCs w:val="28"/>
              </w:rPr>
              <w:t>主要服务范围</w:t>
            </w:r>
          </w:p>
        </w:tc>
        <w:tc>
          <w:tcPr>
            <w:tcW w:w="1619" w:type="dxa"/>
            <w:tcBorders>
              <w:top w:val="single" w:color="auto" w:sz="4" w:space="0"/>
              <w:left w:val="single" w:color="auto" w:sz="4" w:space="0"/>
              <w:bottom w:val="single" w:color="auto" w:sz="4" w:space="0"/>
              <w:right w:val="single" w:color="auto" w:sz="4" w:space="0"/>
            </w:tcBorders>
            <w:vAlign w:val="center"/>
          </w:tcPr>
          <w:p>
            <w:pPr>
              <w:pStyle w:val="22"/>
              <w:adjustRightInd w:val="0"/>
              <w:snapToGrid w:val="0"/>
              <w:spacing w:before="100" w:beforeAutospacing="1" w:after="100" w:afterAutospacing="1" w:line="500" w:lineRule="exact"/>
              <w:jc w:val="center"/>
              <w:rPr>
                <w:rFonts w:ascii="宋体" w:hAnsi="宋体"/>
                <w:szCs w:val="28"/>
              </w:rPr>
            </w:pPr>
            <w:r>
              <w:rPr>
                <w:rFonts w:hint="eastAsia" w:ascii="宋体" w:hAnsi="宋体"/>
                <w:szCs w:val="28"/>
              </w:rPr>
              <w:t>服务人员数</w:t>
            </w:r>
          </w:p>
        </w:tc>
        <w:tc>
          <w:tcPr>
            <w:tcW w:w="1621" w:type="dxa"/>
            <w:tcBorders>
              <w:top w:val="single" w:color="auto" w:sz="4" w:space="0"/>
              <w:left w:val="single" w:color="auto" w:sz="4" w:space="0"/>
              <w:bottom w:val="single" w:color="auto" w:sz="4" w:space="0"/>
              <w:right w:val="single" w:color="auto" w:sz="4" w:space="0"/>
            </w:tcBorders>
            <w:vAlign w:val="center"/>
          </w:tcPr>
          <w:p>
            <w:pPr>
              <w:pStyle w:val="22"/>
              <w:adjustRightInd w:val="0"/>
              <w:snapToGrid w:val="0"/>
              <w:spacing w:before="100" w:beforeAutospacing="1" w:after="100" w:afterAutospacing="1" w:line="500" w:lineRule="exact"/>
              <w:jc w:val="center"/>
              <w:rPr>
                <w:rFonts w:ascii="宋体" w:hAnsi="宋体"/>
                <w:szCs w:val="28"/>
              </w:rPr>
            </w:pPr>
            <w:r>
              <w:rPr>
                <w:rFonts w:hint="eastAsia" w:ascii="宋体" w:hAnsi="宋体"/>
                <w:szCs w:val="28"/>
              </w:rPr>
              <w:t>内部等级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3348" w:type="dxa"/>
            <w:tcBorders>
              <w:top w:val="single" w:color="auto" w:sz="4" w:space="0"/>
              <w:left w:val="single" w:color="auto" w:sz="4" w:space="0"/>
              <w:bottom w:val="single" w:color="auto" w:sz="4" w:space="0"/>
              <w:right w:val="single" w:color="auto" w:sz="4" w:space="0"/>
            </w:tcBorders>
            <w:vAlign w:val="center"/>
          </w:tcPr>
          <w:p>
            <w:pPr>
              <w:pStyle w:val="22"/>
              <w:adjustRightInd w:val="0"/>
              <w:snapToGrid w:val="0"/>
              <w:spacing w:before="100" w:beforeAutospacing="1" w:after="100" w:afterAutospacing="1" w:line="500" w:lineRule="exact"/>
              <w:jc w:val="center"/>
              <w:rPr>
                <w:rFonts w:ascii="宋体" w:hAnsi="宋体"/>
                <w:szCs w:val="28"/>
              </w:rPr>
            </w:pPr>
          </w:p>
        </w:tc>
        <w:tc>
          <w:tcPr>
            <w:tcW w:w="1979" w:type="dxa"/>
            <w:tcBorders>
              <w:top w:val="single" w:color="auto" w:sz="4" w:space="0"/>
              <w:left w:val="single" w:color="auto" w:sz="4" w:space="0"/>
              <w:bottom w:val="single" w:color="auto" w:sz="4" w:space="0"/>
              <w:right w:val="single" w:color="auto" w:sz="4" w:space="0"/>
            </w:tcBorders>
            <w:vAlign w:val="center"/>
          </w:tcPr>
          <w:p>
            <w:pPr>
              <w:pStyle w:val="22"/>
              <w:adjustRightInd w:val="0"/>
              <w:snapToGrid w:val="0"/>
              <w:spacing w:before="100" w:beforeAutospacing="1" w:after="100" w:afterAutospacing="1" w:line="500" w:lineRule="exact"/>
              <w:jc w:val="center"/>
              <w:rPr>
                <w:rFonts w:ascii="宋体" w:hAnsi="宋体"/>
                <w:szCs w:val="28"/>
              </w:rPr>
            </w:pPr>
          </w:p>
        </w:tc>
        <w:tc>
          <w:tcPr>
            <w:tcW w:w="1619" w:type="dxa"/>
            <w:tcBorders>
              <w:top w:val="single" w:color="auto" w:sz="4" w:space="0"/>
              <w:left w:val="single" w:color="auto" w:sz="4" w:space="0"/>
              <w:bottom w:val="single" w:color="auto" w:sz="4" w:space="0"/>
              <w:right w:val="single" w:color="auto" w:sz="4" w:space="0"/>
            </w:tcBorders>
            <w:vAlign w:val="center"/>
          </w:tcPr>
          <w:p>
            <w:pPr>
              <w:pStyle w:val="22"/>
              <w:adjustRightInd w:val="0"/>
              <w:snapToGrid w:val="0"/>
              <w:spacing w:before="100" w:beforeAutospacing="1" w:after="100" w:afterAutospacing="1" w:line="500" w:lineRule="exact"/>
              <w:jc w:val="center"/>
              <w:rPr>
                <w:rFonts w:ascii="宋体" w:hAnsi="宋体"/>
                <w:szCs w:val="28"/>
              </w:rPr>
            </w:pPr>
          </w:p>
        </w:tc>
        <w:tc>
          <w:tcPr>
            <w:tcW w:w="1621" w:type="dxa"/>
            <w:tcBorders>
              <w:top w:val="single" w:color="auto" w:sz="4" w:space="0"/>
              <w:left w:val="single" w:color="auto" w:sz="4" w:space="0"/>
              <w:bottom w:val="single" w:color="auto" w:sz="4" w:space="0"/>
              <w:right w:val="single" w:color="auto" w:sz="4" w:space="0"/>
            </w:tcBorders>
            <w:vAlign w:val="center"/>
          </w:tcPr>
          <w:p>
            <w:pPr>
              <w:pStyle w:val="22"/>
              <w:adjustRightInd w:val="0"/>
              <w:snapToGrid w:val="0"/>
              <w:spacing w:before="100" w:beforeAutospacing="1" w:after="100" w:afterAutospacing="1"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3348" w:type="dxa"/>
            <w:tcBorders>
              <w:top w:val="single" w:color="auto" w:sz="4" w:space="0"/>
              <w:left w:val="single" w:color="auto" w:sz="4" w:space="0"/>
              <w:bottom w:val="single" w:color="auto" w:sz="4" w:space="0"/>
              <w:right w:val="single" w:color="auto" w:sz="4" w:space="0"/>
            </w:tcBorders>
            <w:vAlign w:val="center"/>
          </w:tcPr>
          <w:p>
            <w:pPr>
              <w:pStyle w:val="22"/>
              <w:adjustRightInd w:val="0"/>
              <w:snapToGrid w:val="0"/>
              <w:spacing w:before="100" w:beforeAutospacing="1" w:after="100" w:afterAutospacing="1" w:line="500" w:lineRule="exact"/>
              <w:jc w:val="center"/>
              <w:rPr>
                <w:rFonts w:ascii="宋体" w:hAnsi="宋体"/>
                <w:szCs w:val="28"/>
              </w:rPr>
            </w:pPr>
          </w:p>
        </w:tc>
        <w:tc>
          <w:tcPr>
            <w:tcW w:w="1979" w:type="dxa"/>
            <w:tcBorders>
              <w:top w:val="single" w:color="auto" w:sz="4" w:space="0"/>
              <w:left w:val="single" w:color="auto" w:sz="4" w:space="0"/>
              <w:bottom w:val="single" w:color="auto" w:sz="4" w:space="0"/>
              <w:right w:val="single" w:color="auto" w:sz="4" w:space="0"/>
            </w:tcBorders>
            <w:vAlign w:val="center"/>
          </w:tcPr>
          <w:p>
            <w:pPr>
              <w:pStyle w:val="22"/>
              <w:adjustRightInd w:val="0"/>
              <w:snapToGrid w:val="0"/>
              <w:spacing w:before="100" w:beforeAutospacing="1" w:after="100" w:afterAutospacing="1" w:line="500" w:lineRule="exact"/>
              <w:jc w:val="center"/>
              <w:rPr>
                <w:rFonts w:ascii="宋体" w:hAnsi="宋体"/>
                <w:szCs w:val="28"/>
              </w:rPr>
            </w:pPr>
          </w:p>
        </w:tc>
        <w:tc>
          <w:tcPr>
            <w:tcW w:w="1619" w:type="dxa"/>
            <w:tcBorders>
              <w:top w:val="single" w:color="auto" w:sz="4" w:space="0"/>
              <w:left w:val="single" w:color="auto" w:sz="4" w:space="0"/>
              <w:bottom w:val="single" w:color="auto" w:sz="4" w:space="0"/>
              <w:right w:val="single" w:color="auto" w:sz="4" w:space="0"/>
            </w:tcBorders>
            <w:vAlign w:val="center"/>
          </w:tcPr>
          <w:p>
            <w:pPr>
              <w:pStyle w:val="22"/>
              <w:adjustRightInd w:val="0"/>
              <w:snapToGrid w:val="0"/>
              <w:spacing w:before="100" w:beforeAutospacing="1" w:after="100" w:afterAutospacing="1" w:line="500" w:lineRule="exact"/>
              <w:jc w:val="center"/>
              <w:rPr>
                <w:rFonts w:ascii="宋体" w:hAnsi="宋体"/>
                <w:szCs w:val="28"/>
              </w:rPr>
            </w:pPr>
          </w:p>
        </w:tc>
        <w:tc>
          <w:tcPr>
            <w:tcW w:w="1621" w:type="dxa"/>
            <w:tcBorders>
              <w:top w:val="single" w:color="auto" w:sz="4" w:space="0"/>
              <w:left w:val="single" w:color="auto" w:sz="4" w:space="0"/>
              <w:bottom w:val="single" w:color="auto" w:sz="4" w:space="0"/>
              <w:right w:val="single" w:color="auto" w:sz="4" w:space="0"/>
            </w:tcBorders>
            <w:vAlign w:val="center"/>
          </w:tcPr>
          <w:p>
            <w:pPr>
              <w:pStyle w:val="22"/>
              <w:adjustRightInd w:val="0"/>
              <w:snapToGrid w:val="0"/>
              <w:spacing w:before="100" w:beforeAutospacing="1" w:after="100" w:afterAutospacing="1" w:line="500" w:lineRule="exact"/>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3348" w:type="dxa"/>
            <w:tcBorders>
              <w:top w:val="single" w:color="auto" w:sz="4" w:space="0"/>
              <w:left w:val="single" w:color="auto" w:sz="4" w:space="0"/>
              <w:bottom w:val="single" w:color="auto" w:sz="4" w:space="0"/>
              <w:right w:val="single" w:color="auto" w:sz="4" w:space="0"/>
            </w:tcBorders>
            <w:vAlign w:val="center"/>
          </w:tcPr>
          <w:p>
            <w:pPr>
              <w:pStyle w:val="22"/>
              <w:adjustRightInd w:val="0"/>
              <w:snapToGrid w:val="0"/>
              <w:spacing w:before="100" w:beforeAutospacing="1" w:after="100" w:afterAutospacing="1" w:line="500" w:lineRule="exact"/>
              <w:jc w:val="center"/>
              <w:rPr>
                <w:rFonts w:ascii="宋体" w:hAnsi="宋体"/>
                <w:szCs w:val="28"/>
              </w:rPr>
            </w:pPr>
          </w:p>
        </w:tc>
        <w:tc>
          <w:tcPr>
            <w:tcW w:w="1979" w:type="dxa"/>
            <w:tcBorders>
              <w:top w:val="single" w:color="auto" w:sz="4" w:space="0"/>
              <w:left w:val="single" w:color="auto" w:sz="4" w:space="0"/>
              <w:bottom w:val="single" w:color="auto" w:sz="4" w:space="0"/>
              <w:right w:val="single" w:color="auto" w:sz="4" w:space="0"/>
            </w:tcBorders>
            <w:vAlign w:val="center"/>
          </w:tcPr>
          <w:p>
            <w:pPr>
              <w:pStyle w:val="22"/>
              <w:adjustRightInd w:val="0"/>
              <w:snapToGrid w:val="0"/>
              <w:spacing w:before="100" w:beforeAutospacing="1" w:after="100" w:afterAutospacing="1" w:line="500" w:lineRule="exact"/>
              <w:jc w:val="center"/>
              <w:rPr>
                <w:rFonts w:ascii="宋体" w:hAnsi="宋体"/>
                <w:szCs w:val="28"/>
              </w:rPr>
            </w:pPr>
          </w:p>
        </w:tc>
        <w:tc>
          <w:tcPr>
            <w:tcW w:w="1619" w:type="dxa"/>
            <w:tcBorders>
              <w:top w:val="single" w:color="auto" w:sz="4" w:space="0"/>
              <w:left w:val="single" w:color="auto" w:sz="4" w:space="0"/>
              <w:bottom w:val="single" w:color="auto" w:sz="4" w:space="0"/>
              <w:right w:val="single" w:color="auto" w:sz="4" w:space="0"/>
            </w:tcBorders>
            <w:vAlign w:val="center"/>
          </w:tcPr>
          <w:p>
            <w:pPr>
              <w:pStyle w:val="22"/>
              <w:adjustRightInd w:val="0"/>
              <w:snapToGrid w:val="0"/>
              <w:spacing w:before="100" w:beforeAutospacing="1" w:after="100" w:afterAutospacing="1" w:line="500" w:lineRule="exact"/>
              <w:jc w:val="center"/>
              <w:rPr>
                <w:rFonts w:ascii="宋体" w:hAnsi="宋体"/>
                <w:szCs w:val="28"/>
              </w:rPr>
            </w:pPr>
          </w:p>
        </w:tc>
        <w:tc>
          <w:tcPr>
            <w:tcW w:w="1621" w:type="dxa"/>
            <w:tcBorders>
              <w:top w:val="single" w:color="auto" w:sz="4" w:space="0"/>
              <w:left w:val="single" w:color="auto" w:sz="4" w:space="0"/>
              <w:bottom w:val="single" w:color="auto" w:sz="4" w:space="0"/>
              <w:right w:val="single" w:color="auto" w:sz="4" w:space="0"/>
            </w:tcBorders>
            <w:vAlign w:val="center"/>
          </w:tcPr>
          <w:p>
            <w:pPr>
              <w:pStyle w:val="22"/>
              <w:adjustRightInd w:val="0"/>
              <w:snapToGrid w:val="0"/>
              <w:spacing w:before="100" w:beforeAutospacing="1" w:after="100" w:afterAutospacing="1" w:line="500" w:lineRule="exact"/>
              <w:jc w:val="center"/>
              <w:rPr>
                <w:rFonts w:ascii="宋体" w:hAnsi="宋体"/>
                <w:szCs w:val="28"/>
              </w:rPr>
            </w:pPr>
          </w:p>
        </w:tc>
      </w:tr>
    </w:tbl>
    <w:p>
      <w:pPr>
        <w:pStyle w:val="22"/>
        <w:spacing w:line="500" w:lineRule="exact"/>
        <w:rPr>
          <w:rFonts w:ascii="宋体" w:hAnsi="宋体"/>
          <w:szCs w:val="28"/>
        </w:rPr>
      </w:pPr>
      <w:r>
        <w:rPr>
          <w:rFonts w:ascii="宋体" w:hAnsi="宋体"/>
          <w:szCs w:val="28"/>
        </w:rPr>
        <w:t xml:space="preserve">3、投标人认为需要声明的其它情况：                         </w:t>
      </w:r>
    </w:p>
    <w:p>
      <w:pPr>
        <w:pStyle w:val="22"/>
        <w:spacing w:line="500" w:lineRule="exact"/>
        <w:ind w:firstLine="560" w:firstLineChars="200"/>
        <w:rPr>
          <w:rFonts w:ascii="宋体" w:hAnsi="宋体"/>
          <w:szCs w:val="28"/>
        </w:rPr>
      </w:pPr>
      <w:r>
        <w:rPr>
          <w:rFonts w:hint="eastAsia" w:ascii="宋体" w:hAnsi="宋体"/>
          <w:szCs w:val="28"/>
        </w:rPr>
        <w:t>兹证明上述声明是真实的、正确的，并提供了全部能提供的资料和数据，我们同意遵照采购人、采购代理机构要求出示有关证明文件。</w:t>
      </w:r>
    </w:p>
    <w:p>
      <w:pPr>
        <w:pStyle w:val="22"/>
        <w:spacing w:line="500" w:lineRule="exact"/>
        <w:rPr>
          <w:rFonts w:ascii="宋体" w:hAnsi="宋体"/>
          <w:szCs w:val="28"/>
        </w:rPr>
      </w:pPr>
      <w:r>
        <w:rPr>
          <w:rFonts w:ascii="宋体" w:hAnsi="宋体"/>
          <w:szCs w:val="28"/>
        </w:rPr>
        <w:t xml:space="preserve">                      </w:t>
      </w:r>
    </w:p>
    <w:p>
      <w:pPr>
        <w:pStyle w:val="22"/>
        <w:spacing w:line="500" w:lineRule="exact"/>
        <w:ind w:firstLine="480"/>
        <w:rPr>
          <w:rFonts w:ascii="宋体" w:hAnsi="宋体"/>
          <w:szCs w:val="28"/>
        </w:rPr>
      </w:pPr>
      <w:r>
        <w:rPr>
          <w:rFonts w:hint="eastAsia" w:ascii="宋体" w:hAnsi="宋体"/>
          <w:szCs w:val="28"/>
        </w:rPr>
        <w:t>投标人名称：</w:t>
      </w:r>
      <w:r>
        <w:rPr>
          <w:rFonts w:ascii="宋体" w:hAnsi="宋体"/>
          <w:szCs w:val="28"/>
          <w:u w:val="single"/>
        </w:rPr>
        <w:t xml:space="preserve">       （签章）       </w:t>
      </w:r>
    </w:p>
    <w:p>
      <w:pPr>
        <w:pStyle w:val="22"/>
        <w:spacing w:line="500" w:lineRule="exact"/>
        <w:ind w:firstLine="480"/>
        <w:rPr>
          <w:rFonts w:ascii="宋体" w:hAnsi="宋体"/>
          <w:szCs w:val="28"/>
        </w:rPr>
      </w:pPr>
      <w:r>
        <w:rPr>
          <w:rFonts w:hint="eastAsia" w:ascii="宋体" w:hAnsi="宋体"/>
          <w:szCs w:val="28"/>
        </w:rPr>
        <w:t>法定代表人签章：</w:t>
      </w:r>
      <w:r>
        <w:rPr>
          <w:rFonts w:ascii="宋体" w:hAnsi="宋体"/>
          <w:szCs w:val="28"/>
          <w:u w:val="single"/>
        </w:rPr>
        <w:t xml:space="preserve">    （签章）      </w:t>
      </w:r>
    </w:p>
    <w:p>
      <w:pPr>
        <w:pStyle w:val="22"/>
        <w:spacing w:line="500" w:lineRule="exact"/>
        <w:ind w:firstLine="480"/>
        <w:rPr>
          <w:rFonts w:ascii="宋体" w:hAnsi="宋体"/>
          <w:szCs w:val="28"/>
        </w:rPr>
      </w:pPr>
      <w:r>
        <w:rPr>
          <w:rFonts w:hint="eastAsia" w:ascii="宋体" w:hAnsi="宋体"/>
          <w:szCs w:val="28"/>
        </w:rPr>
        <w:t>电</w:t>
      </w:r>
      <w:r>
        <w:rPr>
          <w:rFonts w:ascii="宋体" w:hAnsi="宋体"/>
          <w:szCs w:val="28"/>
        </w:rPr>
        <w:t xml:space="preserve">      </w:t>
      </w:r>
      <w:r>
        <w:rPr>
          <w:rFonts w:hint="eastAsia" w:ascii="宋体" w:hAnsi="宋体"/>
          <w:szCs w:val="28"/>
        </w:rPr>
        <w:t>话：</w:t>
      </w:r>
      <w:r>
        <w:rPr>
          <w:rFonts w:ascii="宋体" w:hAnsi="宋体"/>
          <w:szCs w:val="28"/>
          <w:u w:val="single"/>
        </w:rPr>
        <w:t xml:space="preserve">                      </w:t>
      </w:r>
    </w:p>
    <w:p>
      <w:pPr>
        <w:pStyle w:val="22"/>
        <w:spacing w:line="500" w:lineRule="exact"/>
        <w:ind w:firstLine="480"/>
        <w:rPr>
          <w:rFonts w:ascii="宋体" w:hAnsi="宋体"/>
          <w:szCs w:val="28"/>
        </w:rPr>
      </w:pPr>
      <w:r>
        <w:rPr>
          <w:rFonts w:hint="eastAsia" w:ascii="宋体" w:hAnsi="宋体"/>
          <w:szCs w:val="28"/>
        </w:rPr>
        <w:t>传</w:t>
      </w:r>
      <w:r>
        <w:rPr>
          <w:rFonts w:ascii="宋体" w:hAnsi="宋体"/>
          <w:szCs w:val="28"/>
        </w:rPr>
        <w:t xml:space="preserve">      </w:t>
      </w:r>
      <w:r>
        <w:rPr>
          <w:rFonts w:hint="eastAsia" w:ascii="宋体" w:hAnsi="宋体"/>
          <w:szCs w:val="28"/>
        </w:rPr>
        <w:t>真：</w:t>
      </w:r>
      <w:r>
        <w:rPr>
          <w:rFonts w:ascii="宋体" w:hAnsi="宋体"/>
          <w:szCs w:val="28"/>
          <w:u w:val="single"/>
        </w:rPr>
        <w:t xml:space="preserve">                      </w:t>
      </w:r>
    </w:p>
    <w:p>
      <w:pPr>
        <w:pStyle w:val="22"/>
        <w:autoSpaceDE w:val="0"/>
        <w:autoSpaceDN w:val="0"/>
        <w:spacing w:line="500" w:lineRule="exact"/>
        <w:ind w:firstLine="480"/>
        <w:rPr>
          <w:rFonts w:ascii="宋体" w:hAnsi="宋体"/>
          <w:szCs w:val="28"/>
        </w:rPr>
      </w:pPr>
      <w:r>
        <w:rPr>
          <w:rFonts w:hint="eastAsia" w:ascii="宋体" w:hAnsi="宋体"/>
          <w:szCs w:val="28"/>
        </w:rPr>
        <w:t>日</w:t>
      </w:r>
      <w:r>
        <w:rPr>
          <w:rFonts w:ascii="宋体" w:hAnsi="宋体"/>
          <w:szCs w:val="28"/>
        </w:rPr>
        <w:t xml:space="preserve">      </w:t>
      </w:r>
      <w:r>
        <w:rPr>
          <w:rFonts w:hint="eastAsia" w:ascii="宋体" w:hAnsi="宋体"/>
          <w:szCs w:val="28"/>
        </w:rPr>
        <w:t>期：</w:t>
      </w:r>
      <w:r>
        <w:rPr>
          <w:rFonts w:ascii="宋体" w:hAnsi="宋体"/>
          <w:szCs w:val="28"/>
          <w:u w:val="single"/>
        </w:rPr>
        <w:t xml:space="preserve">        </w:t>
      </w:r>
      <w:r>
        <w:rPr>
          <w:rFonts w:hint="eastAsia" w:ascii="宋体" w:hAnsi="宋体"/>
          <w:szCs w:val="28"/>
        </w:rPr>
        <w:t>年</w:t>
      </w:r>
      <w:r>
        <w:rPr>
          <w:rFonts w:ascii="宋体" w:hAnsi="宋体"/>
          <w:szCs w:val="28"/>
          <w:u w:val="single"/>
        </w:rPr>
        <w:t xml:space="preserve">    </w:t>
      </w:r>
      <w:r>
        <w:rPr>
          <w:rFonts w:hint="eastAsia" w:ascii="宋体" w:hAnsi="宋体"/>
          <w:szCs w:val="28"/>
        </w:rPr>
        <w:t>月</w:t>
      </w:r>
      <w:r>
        <w:rPr>
          <w:rFonts w:ascii="宋体" w:hAnsi="宋体"/>
          <w:szCs w:val="28"/>
          <w:u w:val="single"/>
        </w:rPr>
        <w:t xml:space="preserve">    </w:t>
      </w:r>
      <w:r>
        <w:rPr>
          <w:rFonts w:hint="eastAsia" w:ascii="宋体" w:hAnsi="宋体"/>
          <w:szCs w:val="28"/>
        </w:rPr>
        <w:t>日</w:t>
      </w:r>
    </w:p>
    <w:p>
      <w:pPr>
        <w:pStyle w:val="22"/>
        <w:autoSpaceDE w:val="0"/>
        <w:autoSpaceDN w:val="0"/>
        <w:spacing w:line="500" w:lineRule="exact"/>
        <w:ind w:firstLine="480"/>
        <w:rPr>
          <w:rFonts w:ascii="宋体" w:hAnsi="宋体"/>
          <w:szCs w:val="28"/>
        </w:rPr>
      </w:pPr>
    </w:p>
    <w:p>
      <w:pPr>
        <w:pStyle w:val="22"/>
        <w:widowControl/>
        <w:jc w:val="left"/>
        <w:rPr>
          <w:rFonts w:ascii="宋体" w:hAnsi="宋体"/>
          <w:szCs w:val="28"/>
        </w:rPr>
      </w:pPr>
    </w:p>
    <w:p>
      <w:pPr>
        <w:pStyle w:val="35"/>
        <w:jc w:val="center"/>
        <w:rPr>
          <w:rFonts w:ascii="宋体" w:hAnsi="宋体"/>
        </w:rPr>
      </w:pPr>
      <w:r>
        <w:rPr>
          <w:rFonts w:ascii="宋体" w:hAnsi="宋体"/>
        </w:rPr>
        <w:br w:type="page"/>
      </w:r>
      <w:bookmarkStart w:id="136" w:name="_Toc519362010"/>
      <w:bookmarkStart w:id="137" w:name="_Toc5974933"/>
      <w:r>
        <w:rPr>
          <w:rFonts w:hint="eastAsia" w:ascii="宋体" w:hAnsi="宋体"/>
        </w:rPr>
        <w:t>项目负责人、技术负责人简历表</w:t>
      </w:r>
      <w:bookmarkEnd w:id="136"/>
      <w:bookmarkEnd w:id="137"/>
    </w:p>
    <w:p>
      <w:pPr>
        <w:pStyle w:val="22"/>
        <w:adjustRightInd w:val="0"/>
        <w:snapToGrid w:val="0"/>
        <w:spacing w:line="500" w:lineRule="exact"/>
        <w:rPr>
          <w:rFonts w:ascii="宋体" w:hAnsi="宋体"/>
          <w:szCs w:val="28"/>
        </w:rPr>
      </w:pPr>
      <w:r>
        <w:rPr>
          <w:rFonts w:hint="eastAsia" w:ascii="宋体" w:hAnsi="宋体"/>
          <w:szCs w:val="28"/>
        </w:rPr>
        <w:t>采购项目编号：</w:t>
      </w:r>
      <w:r>
        <w:rPr>
          <w:rFonts w:ascii="宋体" w:hAnsi="宋体"/>
          <w:szCs w:val="28"/>
          <w:u w:val="single"/>
        </w:rPr>
        <w:t xml:space="preserve">                              </w:t>
      </w:r>
      <w:r>
        <w:rPr>
          <w:rFonts w:ascii="宋体" w:hAnsi="宋体"/>
          <w:szCs w:val="28"/>
        </w:rPr>
        <w:t xml:space="preserve">     </w:t>
      </w:r>
    </w:p>
    <w:p>
      <w:pPr>
        <w:pStyle w:val="22"/>
        <w:adjustRightInd w:val="0"/>
        <w:snapToGrid w:val="0"/>
        <w:spacing w:line="500" w:lineRule="exact"/>
        <w:rPr>
          <w:rFonts w:ascii="宋体" w:hAnsi="宋体"/>
          <w:szCs w:val="28"/>
          <w:u w:val="single"/>
        </w:rPr>
      </w:pPr>
      <w:r>
        <w:rPr>
          <w:rFonts w:hint="eastAsia" w:ascii="宋体" w:hAnsi="宋体"/>
          <w:szCs w:val="28"/>
        </w:rPr>
        <w:t>采购项目名称：</w:t>
      </w:r>
      <w:r>
        <w:rPr>
          <w:rFonts w:ascii="宋体" w:hAnsi="宋体"/>
          <w:szCs w:val="28"/>
          <w:u w:val="single"/>
        </w:rPr>
        <w:t xml:space="preserve">                              </w:t>
      </w:r>
    </w:p>
    <w:tbl>
      <w:tblPr>
        <w:tblStyle w:val="13"/>
        <w:tblW w:w="918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306"/>
        <w:gridCol w:w="1224"/>
        <w:gridCol w:w="612"/>
        <w:gridCol w:w="1044"/>
        <w:gridCol w:w="792"/>
        <w:gridCol w:w="612"/>
        <w:gridCol w:w="1224"/>
        <w:gridCol w:w="491"/>
        <w:gridCol w:w="1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vAlign w:val="center"/>
          </w:tcPr>
          <w:p>
            <w:pPr>
              <w:pStyle w:val="22"/>
              <w:jc w:val="center"/>
              <w:rPr>
                <w:rFonts w:ascii="宋体" w:hAnsi="宋体"/>
                <w:szCs w:val="28"/>
              </w:rPr>
            </w:pPr>
            <w:r>
              <w:rPr>
                <w:rFonts w:hint="eastAsia" w:ascii="宋体" w:hAnsi="宋体"/>
                <w:szCs w:val="28"/>
              </w:rPr>
              <w:t>姓</w:t>
            </w:r>
            <w:r>
              <w:rPr>
                <w:rFonts w:ascii="宋体" w:hAnsi="宋体"/>
                <w:szCs w:val="28"/>
              </w:rPr>
              <w:t xml:space="preserve">    </w:t>
            </w:r>
            <w:r>
              <w:rPr>
                <w:rFonts w:hint="eastAsia" w:ascii="宋体" w:hAnsi="宋体"/>
                <w:szCs w:val="28"/>
              </w:rPr>
              <w:t>名</w:t>
            </w:r>
          </w:p>
        </w:tc>
        <w:tc>
          <w:tcPr>
            <w:tcW w:w="1530" w:type="dxa"/>
            <w:gridSpan w:val="2"/>
            <w:vAlign w:val="center"/>
          </w:tcPr>
          <w:p>
            <w:pPr>
              <w:pStyle w:val="22"/>
              <w:jc w:val="center"/>
              <w:rPr>
                <w:rFonts w:ascii="宋体" w:hAnsi="宋体"/>
                <w:szCs w:val="28"/>
              </w:rPr>
            </w:pPr>
          </w:p>
        </w:tc>
        <w:tc>
          <w:tcPr>
            <w:tcW w:w="1656" w:type="dxa"/>
            <w:gridSpan w:val="2"/>
            <w:vAlign w:val="center"/>
          </w:tcPr>
          <w:p>
            <w:pPr>
              <w:pStyle w:val="22"/>
              <w:jc w:val="center"/>
              <w:rPr>
                <w:rFonts w:ascii="宋体" w:hAnsi="宋体"/>
                <w:szCs w:val="28"/>
              </w:rPr>
            </w:pPr>
            <w:r>
              <w:rPr>
                <w:rFonts w:hint="eastAsia" w:ascii="宋体" w:hAnsi="宋体"/>
                <w:szCs w:val="28"/>
              </w:rPr>
              <w:t>性</w:t>
            </w:r>
            <w:r>
              <w:rPr>
                <w:rFonts w:ascii="宋体" w:hAnsi="宋体"/>
                <w:szCs w:val="28"/>
              </w:rPr>
              <w:t xml:space="preserve">    </w:t>
            </w:r>
            <w:r>
              <w:rPr>
                <w:rFonts w:hint="eastAsia" w:ascii="宋体" w:hAnsi="宋体"/>
                <w:szCs w:val="28"/>
              </w:rPr>
              <w:t>别</w:t>
            </w:r>
          </w:p>
        </w:tc>
        <w:tc>
          <w:tcPr>
            <w:tcW w:w="1404" w:type="dxa"/>
            <w:gridSpan w:val="2"/>
            <w:vAlign w:val="center"/>
          </w:tcPr>
          <w:p>
            <w:pPr>
              <w:pStyle w:val="22"/>
              <w:jc w:val="center"/>
              <w:rPr>
                <w:rFonts w:ascii="宋体" w:hAnsi="宋体"/>
                <w:szCs w:val="28"/>
              </w:rPr>
            </w:pPr>
          </w:p>
        </w:tc>
        <w:tc>
          <w:tcPr>
            <w:tcW w:w="1715" w:type="dxa"/>
            <w:gridSpan w:val="2"/>
            <w:vAlign w:val="center"/>
          </w:tcPr>
          <w:p>
            <w:pPr>
              <w:pStyle w:val="22"/>
              <w:jc w:val="center"/>
              <w:rPr>
                <w:rFonts w:ascii="宋体" w:hAnsi="宋体"/>
                <w:szCs w:val="28"/>
              </w:rPr>
            </w:pPr>
            <w:r>
              <w:rPr>
                <w:rFonts w:hint="eastAsia" w:ascii="宋体" w:hAnsi="宋体"/>
                <w:szCs w:val="28"/>
              </w:rPr>
              <w:t>年</w:t>
            </w:r>
            <w:r>
              <w:rPr>
                <w:rFonts w:ascii="宋体" w:hAnsi="宋体"/>
                <w:szCs w:val="28"/>
              </w:rPr>
              <w:t xml:space="preserve">    </w:t>
            </w:r>
            <w:r>
              <w:rPr>
                <w:rFonts w:hint="eastAsia" w:ascii="宋体" w:hAnsi="宋体"/>
                <w:szCs w:val="28"/>
              </w:rPr>
              <w:t>龄</w:t>
            </w:r>
          </w:p>
        </w:tc>
        <w:tc>
          <w:tcPr>
            <w:tcW w:w="1345" w:type="dxa"/>
            <w:vAlign w:val="center"/>
          </w:tcPr>
          <w:p>
            <w:pPr>
              <w:pStyle w:val="22"/>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0" w:type="dxa"/>
            <w:vAlign w:val="center"/>
          </w:tcPr>
          <w:p>
            <w:pPr>
              <w:pStyle w:val="22"/>
              <w:jc w:val="center"/>
              <w:rPr>
                <w:rFonts w:ascii="宋体" w:hAnsi="宋体"/>
                <w:szCs w:val="28"/>
              </w:rPr>
            </w:pPr>
            <w:r>
              <w:rPr>
                <w:rFonts w:hint="eastAsia" w:ascii="宋体" w:hAnsi="宋体"/>
                <w:szCs w:val="28"/>
              </w:rPr>
              <w:t>职</w:t>
            </w:r>
            <w:r>
              <w:rPr>
                <w:rFonts w:ascii="宋体" w:hAnsi="宋体"/>
                <w:szCs w:val="28"/>
              </w:rPr>
              <w:t xml:space="preserve">    </w:t>
            </w:r>
            <w:r>
              <w:rPr>
                <w:rFonts w:hint="eastAsia" w:ascii="宋体" w:hAnsi="宋体"/>
                <w:szCs w:val="28"/>
              </w:rPr>
              <w:t>务</w:t>
            </w:r>
          </w:p>
        </w:tc>
        <w:tc>
          <w:tcPr>
            <w:tcW w:w="1530" w:type="dxa"/>
            <w:gridSpan w:val="2"/>
            <w:vAlign w:val="center"/>
          </w:tcPr>
          <w:p>
            <w:pPr>
              <w:pStyle w:val="22"/>
              <w:jc w:val="center"/>
              <w:rPr>
                <w:rFonts w:ascii="宋体" w:hAnsi="宋体"/>
                <w:szCs w:val="28"/>
              </w:rPr>
            </w:pPr>
          </w:p>
        </w:tc>
        <w:tc>
          <w:tcPr>
            <w:tcW w:w="1656" w:type="dxa"/>
            <w:gridSpan w:val="2"/>
            <w:vAlign w:val="center"/>
          </w:tcPr>
          <w:p>
            <w:pPr>
              <w:pStyle w:val="22"/>
              <w:jc w:val="center"/>
              <w:rPr>
                <w:rFonts w:ascii="宋体" w:hAnsi="宋体"/>
                <w:szCs w:val="28"/>
              </w:rPr>
            </w:pPr>
            <w:r>
              <w:rPr>
                <w:rFonts w:hint="eastAsia" w:ascii="宋体" w:hAnsi="宋体"/>
                <w:szCs w:val="28"/>
              </w:rPr>
              <w:t>职</w:t>
            </w:r>
            <w:r>
              <w:rPr>
                <w:rFonts w:ascii="宋体" w:hAnsi="宋体"/>
                <w:szCs w:val="28"/>
              </w:rPr>
              <w:t xml:space="preserve">    </w:t>
            </w:r>
            <w:r>
              <w:rPr>
                <w:rFonts w:hint="eastAsia" w:ascii="宋体" w:hAnsi="宋体"/>
                <w:szCs w:val="28"/>
              </w:rPr>
              <w:t>称</w:t>
            </w:r>
          </w:p>
        </w:tc>
        <w:tc>
          <w:tcPr>
            <w:tcW w:w="1404" w:type="dxa"/>
            <w:gridSpan w:val="2"/>
            <w:vAlign w:val="center"/>
          </w:tcPr>
          <w:p>
            <w:pPr>
              <w:pStyle w:val="22"/>
              <w:jc w:val="center"/>
              <w:rPr>
                <w:rFonts w:ascii="宋体" w:hAnsi="宋体"/>
                <w:szCs w:val="28"/>
              </w:rPr>
            </w:pPr>
          </w:p>
        </w:tc>
        <w:tc>
          <w:tcPr>
            <w:tcW w:w="1715" w:type="dxa"/>
            <w:gridSpan w:val="2"/>
            <w:vAlign w:val="center"/>
          </w:tcPr>
          <w:p>
            <w:pPr>
              <w:pStyle w:val="22"/>
              <w:jc w:val="center"/>
              <w:rPr>
                <w:rFonts w:ascii="宋体" w:hAnsi="宋体"/>
                <w:szCs w:val="28"/>
              </w:rPr>
            </w:pPr>
            <w:r>
              <w:rPr>
                <w:rFonts w:hint="eastAsia" w:ascii="宋体" w:hAnsi="宋体"/>
                <w:szCs w:val="28"/>
              </w:rPr>
              <w:t>学</w:t>
            </w:r>
            <w:r>
              <w:rPr>
                <w:rFonts w:ascii="宋体" w:hAnsi="宋体"/>
                <w:szCs w:val="28"/>
              </w:rPr>
              <w:t xml:space="preserve">    </w:t>
            </w:r>
            <w:r>
              <w:rPr>
                <w:rFonts w:hint="eastAsia" w:ascii="宋体" w:hAnsi="宋体"/>
                <w:szCs w:val="28"/>
              </w:rPr>
              <w:t>历</w:t>
            </w:r>
          </w:p>
        </w:tc>
        <w:tc>
          <w:tcPr>
            <w:tcW w:w="1345" w:type="dxa"/>
            <w:vAlign w:val="center"/>
          </w:tcPr>
          <w:p>
            <w:pPr>
              <w:pStyle w:val="22"/>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530" w:type="dxa"/>
            <w:vAlign w:val="center"/>
          </w:tcPr>
          <w:p>
            <w:pPr>
              <w:pStyle w:val="22"/>
              <w:jc w:val="center"/>
              <w:rPr>
                <w:rFonts w:ascii="宋体" w:hAnsi="宋体"/>
                <w:szCs w:val="28"/>
              </w:rPr>
            </w:pPr>
            <w:r>
              <w:rPr>
                <w:rFonts w:hint="eastAsia" w:ascii="宋体" w:hAnsi="宋体"/>
                <w:szCs w:val="28"/>
              </w:rPr>
              <w:t>参加工作</w:t>
            </w:r>
          </w:p>
          <w:p>
            <w:pPr>
              <w:pStyle w:val="22"/>
              <w:jc w:val="center"/>
              <w:rPr>
                <w:rFonts w:ascii="宋体" w:hAnsi="宋体"/>
                <w:szCs w:val="28"/>
              </w:rPr>
            </w:pPr>
            <w:r>
              <w:rPr>
                <w:rFonts w:hint="eastAsia" w:ascii="宋体" w:hAnsi="宋体"/>
                <w:szCs w:val="28"/>
              </w:rPr>
              <w:t>时间</w:t>
            </w:r>
          </w:p>
        </w:tc>
        <w:tc>
          <w:tcPr>
            <w:tcW w:w="1530" w:type="dxa"/>
            <w:gridSpan w:val="2"/>
            <w:vAlign w:val="center"/>
          </w:tcPr>
          <w:p>
            <w:pPr>
              <w:pStyle w:val="22"/>
              <w:jc w:val="center"/>
              <w:rPr>
                <w:rFonts w:ascii="宋体" w:hAnsi="宋体"/>
                <w:szCs w:val="28"/>
              </w:rPr>
            </w:pPr>
          </w:p>
        </w:tc>
        <w:tc>
          <w:tcPr>
            <w:tcW w:w="1656" w:type="dxa"/>
            <w:gridSpan w:val="2"/>
            <w:vAlign w:val="center"/>
          </w:tcPr>
          <w:p>
            <w:pPr>
              <w:pStyle w:val="22"/>
              <w:jc w:val="center"/>
              <w:rPr>
                <w:rFonts w:ascii="宋体" w:hAnsi="宋体"/>
                <w:szCs w:val="28"/>
              </w:rPr>
            </w:pPr>
            <w:r>
              <w:rPr>
                <w:rFonts w:hint="eastAsia" w:ascii="宋体" w:hAnsi="宋体"/>
                <w:szCs w:val="28"/>
              </w:rPr>
              <w:t>从事本行业工作年限</w:t>
            </w:r>
          </w:p>
        </w:tc>
        <w:tc>
          <w:tcPr>
            <w:tcW w:w="1404" w:type="dxa"/>
            <w:gridSpan w:val="2"/>
            <w:vAlign w:val="center"/>
          </w:tcPr>
          <w:p>
            <w:pPr>
              <w:pStyle w:val="22"/>
              <w:jc w:val="center"/>
              <w:rPr>
                <w:rFonts w:ascii="宋体" w:hAnsi="宋体"/>
                <w:szCs w:val="28"/>
              </w:rPr>
            </w:pPr>
          </w:p>
        </w:tc>
        <w:tc>
          <w:tcPr>
            <w:tcW w:w="1715" w:type="dxa"/>
            <w:gridSpan w:val="2"/>
            <w:vAlign w:val="center"/>
          </w:tcPr>
          <w:p>
            <w:pPr>
              <w:pStyle w:val="22"/>
              <w:jc w:val="center"/>
              <w:rPr>
                <w:rFonts w:ascii="宋体" w:hAnsi="宋体"/>
                <w:szCs w:val="28"/>
              </w:rPr>
            </w:pPr>
            <w:r>
              <w:rPr>
                <w:rFonts w:hint="eastAsia" w:ascii="宋体" w:hAnsi="宋体"/>
                <w:szCs w:val="28"/>
              </w:rPr>
              <w:t>个人专业资质及证书</w:t>
            </w:r>
          </w:p>
        </w:tc>
        <w:tc>
          <w:tcPr>
            <w:tcW w:w="1345" w:type="dxa"/>
            <w:vAlign w:val="center"/>
          </w:tcPr>
          <w:p>
            <w:pPr>
              <w:pStyle w:val="22"/>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7" w:hRule="atLeast"/>
        </w:trPr>
        <w:tc>
          <w:tcPr>
            <w:tcW w:w="9180" w:type="dxa"/>
            <w:gridSpan w:val="10"/>
            <w:vAlign w:val="center"/>
          </w:tcPr>
          <w:p>
            <w:pPr>
              <w:pStyle w:val="22"/>
              <w:jc w:val="center"/>
              <w:rPr>
                <w:rFonts w:ascii="宋体" w:hAnsi="宋体"/>
                <w:szCs w:val="28"/>
              </w:rPr>
            </w:pPr>
            <w:r>
              <w:rPr>
                <w:rFonts w:hint="eastAsia" w:ascii="宋体" w:hAnsi="宋体"/>
                <w:szCs w:val="28"/>
              </w:rPr>
              <w:t>个人简介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61" w:hRule="atLeast"/>
        </w:trPr>
        <w:tc>
          <w:tcPr>
            <w:tcW w:w="9180" w:type="dxa"/>
            <w:gridSpan w:val="10"/>
            <w:vAlign w:val="center"/>
          </w:tcPr>
          <w:p>
            <w:pPr>
              <w:pStyle w:val="22"/>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9" w:hRule="atLeast"/>
        </w:trPr>
        <w:tc>
          <w:tcPr>
            <w:tcW w:w="9180" w:type="dxa"/>
            <w:gridSpan w:val="10"/>
            <w:vAlign w:val="center"/>
          </w:tcPr>
          <w:p>
            <w:pPr>
              <w:pStyle w:val="22"/>
              <w:jc w:val="center"/>
              <w:rPr>
                <w:rFonts w:ascii="宋体" w:hAnsi="宋体"/>
                <w:szCs w:val="28"/>
              </w:rPr>
            </w:pPr>
            <w:r>
              <w:rPr>
                <w:rFonts w:hint="eastAsia" w:ascii="宋体" w:hAnsi="宋体"/>
                <w:szCs w:val="28"/>
              </w:rPr>
              <w:t>类似项目经验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836" w:type="dxa"/>
            <w:gridSpan w:val="2"/>
            <w:vAlign w:val="center"/>
          </w:tcPr>
          <w:p>
            <w:pPr>
              <w:pStyle w:val="22"/>
              <w:jc w:val="center"/>
              <w:rPr>
                <w:rFonts w:ascii="宋体" w:hAnsi="宋体"/>
                <w:szCs w:val="28"/>
              </w:rPr>
            </w:pPr>
            <w:r>
              <w:rPr>
                <w:rFonts w:hint="eastAsia" w:ascii="宋体" w:hAnsi="宋体"/>
                <w:szCs w:val="28"/>
              </w:rPr>
              <w:t>项目使用单位</w:t>
            </w:r>
          </w:p>
        </w:tc>
        <w:tc>
          <w:tcPr>
            <w:tcW w:w="1836" w:type="dxa"/>
            <w:gridSpan w:val="2"/>
            <w:vAlign w:val="center"/>
          </w:tcPr>
          <w:p>
            <w:pPr>
              <w:pStyle w:val="22"/>
              <w:jc w:val="center"/>
              <w:rPr>
                <w:rFonts w:ascii="宋体" w:hAnsi="宋体"/>
                <w:szCs w:val="28"/>
              </w:rPr>
            </w:pPr>
            <w:r>
              <w:rPr>
                <w:rFonts w:hint="eastAsia" w:ascii="宋体" w:hAnsi="宋体"/>
                <w:szCs w:val="28"/>
              </w:rPr>
              <w:t>项目名称</w:t>
            </w:r>
          </w:p>
        </w:tc>
        <w:tc>
          <w:tcPr>
            <w:tcW w:w="1836" w:type="dxa"/>
            <w:gridSpan w:val="2"/>
            <w:vAlign w:val="center"/>
          </w:tcPr>
          <w:p>
            <w:pPr>
              <w:pStyle w:val="22"/>
              <w:jc w:val="center"/>
              <w:rPr>
                <w:rFonts w:ascii="宋体" w:hAnsi="宋体"/>
                <w:szCs w:val="28"/>
              </w:rPr>
            </w:pPr>
            <w:r>
              <w:rPr>
                <w:rFonts w:hint="eastAsia" w:ascii="宋体" w:hAnsi="宋体"/>
                <w:szCs w:val="28"/>
              </w:rPr>
              <w:t>项目建设内容</w:t>
            </w:r>
          </w:p>
        </w:tc>
        <w:tc>
          <w:tcPr>
            <w:tcW w:w="1836" w:type="dxa"/>
            <w:gridSpan w:val="2"/>
            <w:vAlign w:val="center"/>
          </w:tcPr>
          <w:p>
            <w:pPr>
              <w:pStyle w:val="22"/>
              <w:jc w:val="center"/>
              <w:rPr>
                <w:rFonts w:ascii="宋体" w:hAnsi="宋体"/>
                <w:szCs w:val="28"/>
              </w:rPr>
            </w:pPr>
            <w:r>
              <w:rPr>
                <w:rFonts w:hint="eastAsia" w:ascii="宋体" w:hAnsi="宋体"/>
                <w:szCs w:val="28"/>
              </w:rPr>
              <w:t>项目总金额</w:t>
            </w:r>
          </w:p>
        </w:tc>
        <w:tc>
          <w:tcPr>
            <w:tcW w:w="1836" w:type="dxa"/>
            <w:gridSpan w:val="2"/>
            <w:vAlign w:val="center"/>
          </w:tcPr>
          <w:p>
            <w:pPr>
              <w:pStyle w:val="22"/>
              <w:jc w:val="center"/>
              <w:rPr>
                <w:rFonts w:ascii="宋体" w:hAnsi="宋体"/>
                <w:szCs w:val="28"/>
              </w:rPr>
            </w:pPr>
            <w:r>
              <w:rPr>
                <w:rFonts w:hint="eastAsia" w:ascii="宋体" w:hAnsi="宋体"/>
                <w:szCs w:val="28"/>
              </w:rPr>
              <w:t>项目建设周期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c>
          <w:tcPr>
            <w:tcW w:w="1836" w:type="dxa"/>
            <w:gridSpan w:val="2"/>
            <w:vAlign w:val="center"/>
          </w:tcPr>
          <w:p>
            <w:pPr>
              <w:pStyle w:val="22"/>
              <w:jc w:val="center"/>
              <w:rPr>
                <w:rFonts w:ascii="宋体" w:hAnsi="宋体"/>
                <w:szCs w:val="28"/>
              </w:rPr>
            </w:pPr>
          </w:p>
        </w:tc>
      </w:tr>
    </w:tbl>
    <w:p>
      <w:pPr>
        <w:pStyle w:val="22"/>
        <w:jc w:val="left"/>
        <w:rPr>
          <w:rFonts w:ascii="宋体" w:hAnsi="宋体"/>
          <w:szCs w:val="28"/>
        </w:rPr>
      </w:pPr>
      <w:r>
        <w:rPr>
          <w:rFonts w:hint="eastAsia" w:ascii="宋体" w:hAnsi="宋体"/>
          <w:szCs w:val="28"/>
        </w:rPr>
        <w:t>说明：必须附相关证明材料的完整清晰彩色复印件，否则评委在评审时将不予承认。</w:t>
      </w:r>
    </w:p>
    <w:p>
      <w:pPr>
        <w:pStyle w:val="35"/>
        <w:jc w:val="center"/>
        <w:rPr>
          <w:rFonts w:ascii="宋体" w:hAnsi="宋体"/>
        </w:rPr>
      </w:pPr>
      <w:r>
        <w:rPr>
          <w:rFonts w:ascii="宋体" w:hAnsi="宋体"/>
        </w:rPr>
        <w:br w:type="page"/>
      </w:r>
      <w:bookmarkStart w:id="138" w:name="_Toc519362011"/>
      <w:bookmarkStart w:id="139" w:name="_Toc5974934"/>
      <w:r>
        <w:rPr>
          <w:rFonts w:hint="eastAsia" w:ascii="宋体" w:hAnsi="宋体"/>
        </w:rPr>
        <w:t>项目班子成员情况表</w:t>
      </w:r>
      <w:bookmarkEnd w:id="138"/>
      <w:bookmarkEnd w:id="139"/>
    </w:p>
    <w:p>
      <w:pPr>
        <w:pStyle w:val="22"/>
        <w:adjustRightInd w:val="0"/>
        <w:snapToGrid w:val="0"/>
        <w:spacing w:line="500" w:lineRule="exact"/>
        <w:rPr>
          <w:rFonts w:ascii="宋体" w:hAnsi="宋体"/>
          <w:szCs w:val="28"/>
        </w:rPr>
      </w:pPr>
      <w:r>
        <w:rPr>
          <w:rFonts w:hint="eastAsia" w:ascii="宋体" w:hAnsi="宋体"/>
          <w:szCs w:val="28"/>
        </w:rPr>
        <w:t>采购项目编号：</w:t>
      </w:r>
      <w:r>
        <w:rPr>
          <w:rFonts w:ascii="宋体" w:hAnsi="宋体"/>
          <w:szCs w:val="28"/>
          <w:u w:val="single"/>
        </w:rPr>
        <w:t xml:space="preserve">                              </w:t>
      </w:r>
      <w:r>
        <w:rPr>
          <w:rFonts w:ascii="宋体" w:hAnsi="宋体"/>
          <w:szCs w:val="28"/>
        </w:rPr>
        <w:t xml:space="preserve">     </w:t>
      </w:r>
    </w:p>
    <w:p>
      <w:pPr>
        <w:pStyle w:val="22"/>
        <w:adjustRightInd w:val="0"/>
        <w:snapToGrid w:val="0"/>
        <w:spacing w:line="500" w:lineRule="exact"/>
        <w:rPr>
          <w:rFonts w:ascii="宋体" w:hAnsi="宋体"/>
          <w:szCs w:val="28"/>
          <w:u w:val="single"/>
        </w:rPr>
      </w:pPr>
      <w:r>
        <w:rPr>
          <w:rFonts w:hint="eastAsia" w:ascii="宋体" w:hAnsi="宋体"/>
          <w:szCs w:val="28"/>
        </w:rPr>
        <w:t>采购项目名称：</w:t>
      </w:r>
      <w:r>
        <w:rPr>
          <w:rFonts w:ascii="宋体" w:hAnsi="宋体"/>
          <w:szCs w:val="28"/>
          <w:u w:val="single"/>
        </w:rPr>
        <w:t xml:space="preserve">                              </w:t>
      </w:r>
    </w:p>
    <w:p>
      <w:pPr>
        <w:pStyle w:val="22"/>
        <w:ind w:firstLine="560" w:firstLineChars="200"/>
        <w:rPr>
          <w:rFonts w:ascii="宋体" w:hAnsi="宋体"/>
          <w:szCs w:val="28"/>
        </w:rPr>
      </w:pPr>
    </w:p>
    <w:tbl>
      <w:tblPr>
        <w:tblStyle w:val="13"/>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134"/>
        <w:gridCol w:w="1134"/>
        <w:gridCol w:w="1985"/>
        <w:gridCol w:w="992"/>
        <w:gridCol w:w="1843"/>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shd w:val="pct10" w:color="auto" w:fill="auto"/>
            <w:vAlign w:val="center"/>
          </w:tcPr>
          <w:p>
            <w:pPr>
              <w:pStyle w:val="22"/>
              <w:rPr>
                <w:rFonts w:ascii="宋体" w:hAnsi="宋体"/>
                <w:szCs w:val="28"/>
              </w:rPr>
            </w:pPr>
            <w:r>
              <w:rPr>
                <w:rFonts w:hint="eastAsia" w:ascii="宋体" w:hAnsi="宋体"/>
                <w:szCs w:val="28"/>
              </w:rPr>
              <w:t>序号</w:t>
            </w:r>
          </w:p>
        </w:tc>
        <w:tc>
          <w:tcPr>
            <w:tcW w:w="1134" w:type="dxa"/>
            <w:tcBorders>
              <w:top w:val="single" w:color="auto" w:sz="4" w:space="0"/>
              <w:left w:val="single" w:color="auto" w:sz="4" w:space="0"/>
              <w:bottom w:val="single" w:color="auto" w:sz="4" w:space="0"/>
              <w:right w:val="single" w:color="auto" w:sz="4" w:space="0"/>
            </w:tcBorders>
            <w:shd w:val="pct10" w:color="auto" w:fill="auto"/>
            <w:vAlign w:val="center"/>
          </w:tcPr>
          <w:p>
            <w:pPr>
              <w:pStyle w:val="22"/>
              <w:rPr>
                <w:rFonts w:ascii="宋体" w:hAnsi="宋体"/>
                <w:szCs w:val="28"/>
              </w:rPr>
            </w:pPr>
            <w:r>
              <w:rPr>
                <w:rFonts w:hint="eastAsia" w:ascii="宋体" w:hAnsi="宋体"/>
                <w:szCs w:val="28"/>
              </w:rPr>
              <w:t>姓名</w:t>
            </w:r>
          </w:p>
        </w:tc>
        <w:tc>
          <w:tcPr>
            <w:tcW w:w="1134" w:type="dxa"/>
            <w:tcBorders>
              <w:top w:val="single" w:color="auto" w:sz="4" w:space="0"/>
              <w:left w:val="single" w:color="auto" w:sz="4" w:space="0"/>
              <w:bottom w:val="single" w:color="auto" w:sz="4" w:space="0"/>
              <w:right w:val="single" w:color="auto" w:sz="4" w:space="0"/>
            </w:tcBorders>
            <w:shd w:val="pct10" w:color="auto" w:fill="auto"/>
            <w:vAlign w:val="center"/>
          </w:tcPr>
          <w:p>
            <w:pPr>
              <w:pStyle w:val="22"/>
              <w:rPr>
                <w:rFonts w:ascii="宋体" w:hAnsi="宋体"/>
                <w:szCs w:val="28"/>
              </w:rPr>
            </w:pPr>
            <w:r>
              <w:rPr>
                <w:rFonts w:hint="eastAsia" w:ascii="宋体" w:hAnsi="宋体"/>
                <w:szCs w:val="28"/>
              </w:rPr>
              <w:t>专业</w:t>
            </w:r>
          </w:p>
        </w:tc>
        <w:tc>
          <w:tcPr>
            <w:tcW w:w="1985" w:type="dxa"/>
            <w:tcBorders>
              <w:top w:val="single" w:color="auto" w:sz="4" w:space="0"/>
              <w:left w:val="single" w:color="auto" w:sz="4" w:space="0"/>
              <w:bottom w:val="single" w:color="auto" w:sz="4" w:space="0"/>
              <w:right w:val="single" w:color="auto" w:sz="4" w:space="0"/>
            </w:tcBorders>
            <w:shd w:val="pct10" w:color="auto" w:fill="auto"/>
            <w:vAlign w:val="center"/>
          </w:tcPr>
          <w:p>
            <w:pPr>
              <w:pStyle w:val="22"/>
              <w:rPr>
                <w:rFonts w:ascii="宋体" w:hAnsi="宋体"/>
                <w:szCs w:val="28"/>
              </w:rPr>
            </w:pPr>
            <w:r>
              <w:rPr>
                <w:rFonts w:hint="eastAsia" w:ascii="宋体" w:hAnsi="宋体"/>
                <w:szCs w:val="28"/>
              </w:rPr>
              <w:t>所在单位</w:t>
            </w:r>
          </w:p>
        </w:tc>
        <w:tc>
          <w:tcPr>
            <w:tcW w:w="992" w:type="dxa"/>
            <w:tcBorders>
              <w:top w:val="single" w:color="auto" w:sz="4" w:space="0"/>
              <w:left w:val="single" w:color="auto" w:sz="4" w:space="0"/>
              <w:bottom w:val="single" w:color="auto" w:sz="4" w:space="0"/>
              <w:right w:val="single" w:color="auto" w:sz="4" w:space="0"/>
            </w:tcBorders>
            <w:shd w:val="pct10" w:color="auto" w:fill="auto"/>
            <w:vAlign w:val="center"/>
          </w:tcPr>
          <w:p>
            <w:pPr>
              <w:pStyle w:val="22"/>
              <w:rPr>
                <w:rFonts w:ascii="宋体" w:hAnsi="宋体"/>
                <w:szCs w:val="28"/>
              </w:rPr>
            </w:pPr>
            <w:r>
              <w:rPr>
                <w:rFonts w:hint="eastAsia" w:ascii="宋体" w:hAnsi="宋体"/>
                <w:szCs w:val="28"/>
              </w:rPr>
              <w:t>任职</w:t>
            </w:r>
          </w:p>
          <w:p>
            <w:pPr>
              <w:pStyle w:val="22"/>
              <w:rPr>
                <w:rFonts w:ascii="宋体" w:hAnsi="宋体"/>
                <w:szCs w:val="28"/>
              </w:rPr>
            </w:pPr>
            <w:r>
              <w:rPr>
                <w:rFonts w:hint="eastAsia" w:ascii="宋体" w:hAnsi="宋体"/>
                <w:szCs w:val="28"/>
              </w:rPr>
              <w:t>时间</w:t>
            </w:r>
          </w:p>
        </w:tc>
        <w:tc>
          <w:tcPr>
            <w:tcW w:w="1843" w:type="dxa"/>
            <w:tcBorders>
              <w:top w:val="single" w:color="auto" w:sz="4" w:space="0"/>
              <w:left w:val="single" w:color="auto" w:sz="4" w:space="0"/>
              <w:right w:val="single" w:color="auto" w:sz="4" w:space="0"/>
            </w:tcBorders>
            <w:shd w:val="pct10" w:color="auto" w:fill="auto"/>
            <w:vAlign w:val="center"/>
          </w:tcPr>
          <w:p>
            <w:pPr>
              <w:pStyle w:val="22"/>
              <w:rPr>
                <w:rFonts w:ascii="宋体" w:hAnsi="宋体"/>
                <w:szCs w:val="28"/>
              </w:rPr>
            </w:pPr>
            <w:r>
              <w:rPr>
                <w:rFonts w:hint="eastAsia" w:ascii="宋体" w:hAnsi="宋体"/>
                <w:szCs w:val="28"/>
              </w:rPr>
              <w:t>在本项目中承担的工作</w:t>
            </w:r>
          </w:p>
        </w:tc>
        <w:tc>
          <w:tcPr>
            <w:tcW w:w="1275" w:type="dxa"/>
            <w:tcBorders>
              <w:top w:val="single" w:color="auto" w:sz="4" w:space="0"/>
              <w:left w:val="single" w:color="auto" w:sz="4" w:space="0"/>
              <w:right w:val="single" w:color="auto" w:sz="4" w:space="0"/>
            </w:tcBorders>
            <w:shd w:val="pct10" w:color="auto" w:fill="auto"/>
            <w:vAlign w:val="center"/>
          </w:tcPr>
          <w:p>
            <w:pPr>
              <w:pStyle w:val="22"/>
              <w:rPr>
                <w:rFonts w:ascii="宋体" w:hAnsi="宋体"/>
                <w:szCs w:val="28"/>
              </w:rPr>
            </w:pPr>
            <w:r>
              <w:rPr>
                <w:rFonts w:hint="eastAsia" w:ascii="宋体" w:hAnsi="宋体"/>
                <w:szCs w:val="28"/>
              </w:rPr>
              <w:t>个人专</w:t>
            </w:r>
          </w:p>
          <w:p>
            <w:pPr>
              <w:pStyle w:val="22"/>
              <w:rPr>
                <w:rFonts w:ascii="宋体" w:hAnsi="宋体"/>
                <w:szCs w:val="28"/>
              </w:rPr>
            </w:pPr>
            <w:r>
              <w:rPr>
                <w:rFonts w:hint="eastAsia" w:ascii="宋体" w:hAnsi="宋体"/>
                <w:szCs w:val="28"/>
              </w:rPr>
              <w:t>业资质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 w:hRule="atLeast"/>
        </w:trPr>
        <w:tc>
          <w:tcPr>
            <w:tcW w:w="709" w:type="dxa"/>
            <w:tcBorders>
              <w:top w:val="single" w:color="auto" w:sz="4" w:space="0"/>
              <w:left w:val="single" w:color="auto" w:sz="4" w:space="0"/>
              <w:bottom w:val="single" w:color="auto" w:sz="4" w:space="0"/>
              <w:right w:val="single" w:color="auto" w:sz="4" w:space="0"/>
            </w:tcBorders>
            <w:vAlign w:val="center"/>
          </w:tcPr>
          <w:p>
            <w:pPr>
              <w:pStyle w:val="22"/>
              <w:jc w:val="center"/>
              <w:rPr>
                <w:rFonts w:ascii="宋体" w:hAnsi="宋体"/>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22"/>
              <w:rPr>
                <w:rFonts w:ascii="宋体" w:hAnsi="宋体"/>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22"/>
              <w:rPr>
                <w:rFonts w:ascii="宋体" w:hAnsi="宋体"/>
                <w:szCs w:val="28"/>
              </w:rPr>
            </w:pPr>
          </w:p>
        </w:tc>
        <w:tc>
          <w:tcPr>
            <w:tcW w:w="1985" w:type="dxa"/>
            <w:tcBorders>
              <w:top w:val="single" w:color="auto" w:sz="4" w:space="0"/>
              <w:left w:val="single" w:color="auto" w:sz="4" w:space="0"/>
              <w:bottom w:val="single" w:color="auto" w:sz="4" w:space="0"/>
              <w:right w:val="single" w:color="auto" w:sz="4" w:space="0"/>
            </w:tcBorders>
          </w:tcPr>
          <w:p>
            <w:pPr>
              <w:pStyle w:val="22"/>
              <w:rPr>
                <w:rFonts w:ascii="宋体" w:hAnsi="宋体"/>
                <w:szCs w:val="28"/>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22"/>
              <w:rPr>
                <w:rFonts w:ascii="宋体" w:hAnsi="宋体"/>
                <w:szCs w:val="28"/>
              </w:rPr>
            </w:pPr>
          </w:p>
        </w:tc>
        <w:tc>
          <w:tcPr>
            <w:tcW w:w="1843" w:type="dxa"/>
            <w:tcBorders>
              <w:left w:val="single" w:color="auto" w:sz="4" w:space="0"/>
              <w:right w:val="single" w:color="auto" w:sz="4" w:space="0"/>
            </w:tcBorders>
          </w:tcPr>
          <w:p>
            <w:pPr>
              <w:pStyle w:val="22"/>
              <w:rPr>
                <w:rFonts w:ascii="宋体" w:hAnsi="宋体"/>
                <w:szCs w:val="28"/>
              </w:rPr>
            </w:pPr>
          </w:p>
        </w:tc>
        <w:tc>
          <w:tcPr>
            <w:tcW w:w="1275" w:type="dxa"/>
            <w:tcBorders>
              <w:left w:val="single" w:color="auto" w:sz="4" w:space="0"/>
              <w:right w:val="single" w:color="auto" w:sz="4" w:space="0"/>
            </w:tcBorders>
          </w:tcPr>
          <w:p>
            <w:pPr>
              <w:pStyle w:val="22"/>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709" w:type="dxa"/>
            <w:tcBorders>
              <w:top w:val="single" w:color="auto" w:sz="4" w:space="0"/>
              <w:left w:val="single" w:color="auto" w:sz="4" w:space="0"/>
              <w:bottom w:val="single" w:color="auto" w:sz="4" w:space="0"/>
              <w:right w:val="single" w:color="auto" w:sz="4" w:space="0"/>
            </w:tcBorders>
            <w:vAlign w:val="center"/>
          </w:tcPr>
          <w:p>
            <w:pPr>
              <w:pStyle w:val="22"/>
              <w:jc w:val="center"/>
              <w:rPr>
                <w:rFonts w:ascii="宋体" w:hAnsi="宋体"/>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22"/>
              <w:rPr>
                <w:rFonts w:ascii="宋体" w:hAnsi="宋体"/>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22"/>
              <w:rPr>
                <w:rFonts w:ascii="宋体" w:hAnsi="宋体"/>
                <w:szCs w:val="28"/>
              </w:rPr>
            </w:pPr>
          </w:p>
        </w:tc>
        <w:tc>
          <w:tcPr>
            <w:tcW w:w="1985" w:type="dxa"/>
            <w:tcBorders>
              <w:top w:val="single" w:color="auto" w:sz="4" w:space="0"/>
              <w:left w:val="single" w:color="auto" w:sz="4" w:space="0"/>
              <w:bottom w:val="single" w:color="auto" w:sz="4" w:space="0"/>
              <w:right w:val="single" w:color="auto" w:sz="4" w:space="0"/>
            </w:tcBorders>
          </w:tcPr>
          <w:p>
            <w:pPr>
              <w:pStyle w:val="22"/>
              <w:rPr>
                <w:rFonts w:ascii="宋体" w:hAnsi="宋体"/>
                <w:szCs w:val="28"/>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22"/>
              <w:rPr>
                <w:rFonts w:ascii="宋体" w:hAnsi="宋体"/>
                <w:szCs w:val="28"/>
              </w:rPr>
            </w:pPr>
          </w:p>
        </w:tc>
        <w:tc>
          <w:tcPr>
            <w:tcW w:w="1843" w:type="dxa"/>
            <w:tcBorders>
              <w:left w:val="single" w:color="auto" w:sz="4" w:space="0"/>
              <w:right w:val="single" w:color="auto" w:sz="4" w:space="0"/>
            </w:tcBorders>
          </w:tcPr>
          <w:p>
            <w:pPr>
              <w:pStyle w:val="22"/>
              <w:rPr>
                <w:rFonts w:ascii="宋体" w:hAnsi="宋体"/>
                <w:szCs w:val="28"/>
              </w:rPr>
            </w:pPr>
          </w:p>
        </w:tc>
        <w:tc>
          <w:tcPr>
            <w:tcW w:w="1275" w:type="dxa"/>
            <w:tcBorders>
              <w:left w:val="single" w:color="auto" w:sz="4" w:space="0"/>
              <w:right w:val="single" w:color="auto" w:sz="4" w:space="0"/>
            </w:tcBorders>
          </w:tcPr>
          <w:p>
            <w:pPr>
              <w:pStyle w:val="22"/>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709" w:type="dxa"/>
            <w:tcBorders>
              <w:top w:val="single" w:color="auto" w:sz="4" w:space="0"/>
              <w:left w:val="single" w:color="auto" w:sz="4" w:space="0"/>
              <w:bottom w:val="single" w:color="auto" w:sz="4" w:space="0"/>
              <w:right w:val="single" w:color="auto" w:sz="4" w:space="0"/>
            </w:tcBorders>
            <w:vAlign w:val="center"/>
          </w:tcPr>
          <w:p>
            <w:pPr>
              <w:pStyle w:val="22"/>
              <w:jc w:val="center"/>
              <w:rPr>
                <w:rFonts w:ascii="宋体" w:hAnsi="宋体"/>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22"/>
              <w:rPr>
                <w:rFonts w:ascii="宋体" w:hAnsi="宋体"/>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22"/>
              <w:rPr>
                <w:rFonts w:ascii="宋体" w:hAnsi="宋体"/>
                <w:szCs w:val="28"/>
              </w:rPr>
            </w:pPr>
          </w:p>
        </w:tc>
        <w:tc>
          <w:tcPr>
            <w:tcW w:w="1985" w:type="dxa"/>
            <w:tcBorders>
              <w:top w:val="single" w:color="auto" w:sz="4" w:space="0"/>
              <w:left w:val="single" w:color="auto" w:sz="4" w:space="0"/>
              <w:bottom w:val="single" w:color="auto" w:sz="4" w:space="0"/>
              <w:right w:val="single" w:color="auto" w:sz="4" w:space="0"/>
            </w:tcBorders>
          </w:tcPr>
          <w:p>
            <w:pPr>
              <w:pStyle w:val="22"/>
              <w:rPr>
                <w:rFonts w:ascii="宋体" w:hAnsi="宋体"/>
                <w:szCs w:val="28"/>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22"/>
              <w:rPr>
                <w:rFonts w:ascii="宋体" w:hAnsi="宋体"/>
                <w:szCs w:val="28"/>
              </w:rPr>
            </w:pPr>
          </w:p>
        </w:tc>
        <w:tc>
          <w:tcPr>
            <w:tcW w:w="1843" w:type="dxa"/>
            <w:tcBorders>
              <w:left w:val="single" w:color="auto" w:sz="4" w:space="0"/>
              <w:right w:val="single" w:color="auto" w:sz="4" w:space="0"/>
            </w:tcBorders>
          </w:tcPr>
          <w:p>
            <w:pPr>
              <w:pStyle w:val="22"/>
              <w:rPr>
                <w:rFonts w:ascii="宋体" w:hAnsi="宋体"/>
                <w:szCs w:val="28"/>
              </w:rPr>
            </w:pPr>
          </w:p>
        </w:tc>
        <w:tc>
          <w:tcPr>
            <w:tcW w:w="1275" w:type="dxa"/>
            <w:tcBorders>
              <w:left w:val="single" w:color="auto" w:sz="4" w:space="0"/>
              <w:right w:val="single" w:color="auto" w:sz="4" w:space="0"/>
            </w:tcBorders>
          </w:tcPr>
          <w:p>
            <w:pPr>
              <w:pStyle w:val="22"/>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709" w:type="dxa"/>
            <w:tcBorders>
              <w:top w:val="single" w:color="auto" w:sz="4" w:space="0"/>
              <w:left w:val="single" w:color="auto" w:sz="4" w:space="0"/>
              <w:bottom w:val="single" w:color="auto" w:sz="4" w:space="0"/>
              <w:right w:val="single" w:color="auto" w:sz="4" w:space="0"/>
            </w:tcBorders>
            <w:vAlign w:val="center"/>
          </w:tcPr>
          <w:p>
            <w:pPr>
              <w:pStyle w:val="22"/>
              <w:jc w:val="center"/>
              <w:rPr>
                <w:rFonts w:ascii="宋体" w:hAnsi="宋体"/>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22"/>
              <w:rPr>
                <w:rFonts w:ascii="宋体" w:hAnsi="宋体"/>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22"/>
              <w:rPr>
                <w:rFonts w:ascii="宋体" w:hAnsi="宋体"/>
                <w:szCs w:val="28"/>
              </w:rPr>
            </w:pPr>
          </w:p>
        </w:tc>
        <w:tc>
          <w:tcPr>
            <w:tcW w:w="1985" w:type="dxa"/>
            <w:tcBorders>
              <w:top w:val="single" w:color="auto" w:sz="4" w:space="0"/>
              <w:left w:val="single" w:color="auto" w:sz="4" w:space="0"/>
              <w:bottom w:val="single" w:color="auto" w:sz="4" w:space="0"/>
              <w:right w:val="single" w:color="auto" w:sz="4" w:space="0"/>
            </w:tcBorders>
          </w:tcPr>
          <w:p>
            <w:pPr>
              <w:pStyle w:val="22"/>
              <w:rPr>
                <w:rFonts w:ascii="宋体" w:hAnsi="宋体"/>
                <w:szCs w:val="28"/>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22"/>
              <w:rPr>
                <w:rFonts w:ascii="宋体" w:hAnsi="宋体"/>
                <w:szCs w:val="28"/>
              </w:rPr>
            </w:pPr>
          </w:p>
        </w:tc>
        <w:tc>
          <w:tcPr>
            <w:tcW w:w="1843" w:type="dxa"/>
            <w:tcBorders>
              <w:left w:val="single" w:color="auto" w:sz="4" w:space="0"/>
              <w:right w:val="single" w:color="auto" w:sz="4" w:space="0"/>
            </w:tcBorders>
          </w:tcPr>
          <w:p>
            <w:pPr>
              <w:pStyle w:val="22"/>
              <w:rPr>
                <w:rFonts w:ascii="宋体" w:hAnsi="宋体"/>
                <w:szCs w:val="28"/>
              </w:rPr>
            </w:pPr>
          </w:p>
        </w:tc>
        <w:tc>
          <w:tcPr>
            <w:tcW w:w="1275" w:type="dxa"/>
            <w:tcBorders>
              <w:left w:val="single" w:color="auto" w:sz="4" w:space="0"/>
              <w:right w:val="single" w:color="auto" w:sz="4" w:space="0"/>
            </w:tcBorders>
          </w:tcPr>
          <w:p>
            <w:pPr>
              <w:pStyle w:val="22"/>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709" w:type="dxa"/>
            <w:tcBorders>
              <w:top w:val="single" w:color="auto" w:sz="4" w:space="0"/>
              <w:left w:val="single" w:color="auto" w:sz="4" w:space="0"/>
              <w:bottom w:val="single" w:color="auto" w:sz="4" w:space="0"/>
              <w:right w:val="single" w:color="auto" w:sz="4" w:space="0"/>
            </w:tcBorders>
            <w:vAlign w:val="center"/>
          </w:tcPr>
          <w:p>
            <w:pPr>
              <w:pStyle w:val="22"/>
              <w:jc w:val="center"/>
              <w:rPr>
                <w:rFonts w:ascii="宋体" w:hAnsi="宋体"/>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22"/>
              <w:rPr>
                <w:rFonts w:ascii="宋体" w:hAnsi="宋体"/>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22"/>
              <w:rPr>
                <w:rFonts w:ascii="宋体" w:hAnsi="宋体"/>
                <w:szCs w:val="28"/>
              </w:rPr>
            </w:pPr>
          </w:p>
        </w:tc>
        <w:tc>
          <w:tcPr>
            <w:tcW w:w="1985" w:type="dxa"/>
            <w:tcBorders>
              <w:top w:val="single" w:color="auto" w:sz="4" w:space="0"/>
              <w:left w:val="single" w:color="auto" w:sz="4" w:space="0"/>
              <w:bottom w:val="single" w:color="auto" w:sz="4" w:space="0"/>
              <w:right w:val="single" w:color="auto" w:sz="4" w:space="0"/>
            </w:tcBorders>
          </w:tcPr>
          <w:p>
            <w:pPr>
              <w:pStyle w:val="22"/>
              <w:rPr>
                <w:rFonts w:ascii="宋体" w:hAnsi="宋体"/>
                <w:szCs w:val="28"/>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22"/>
              <w:rPr>
                <w:rFonts w:ascii="宋体" w:hAnsi="宋体"/>
                <w:szCs w:val="28"/>
              </w:rPr>
            </w:pPr>
          </w:p>
        </w:tc>
        <w:tc>
          <w:tcPr>
            <w:tcW w:w="1843" w:type="dxa"/>
            <w:tcBorders>
              <w:left w:val="single" w:color="auto" w:sz="4" w:space="0"/>
              <w:right w:val="single" w:color="auto" w:sz="4" w:space="0"/>
            </w:tcBorders>
          </w:tcPr>
          <w:p>
            <w:pPr>
              <w:pStyle w:val="22"/>
              <w:rPr>
                <w:rFonts w:ascii="宋体" w:hAnsi="宋体"/>
                <w:szCs w:val="28"/>
              </w:rPr>
            </w:pPr>
          </w:p>
        </w:tc>
        <w:tc>
          <w:tcPr>
            <w:tcW w:w="1275" w:type="dxa"/>
            <w:tcBorders>
              <w:left w:val="single" w:color="auto" w:sz="4" w:space="0"/>
              <w:right w:val="single" w:color="auto" w:sz="4" w:space="0"/>
            </w:tcBorders>
          </w:tcPr>
          <w:p>
            <w:pPr>
              <w:pStyle w:val="22"/>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709" w:type="dxa"/>
            <w:tcBorders>
              <w:top w:val="single" w:color="auto" w:sz="4" w:space="0"/>
              <w:left w:val="single" w:color="auto" w:sz="4" w:space="0"/>
              <w:bottom w:val="single" w:color="auto" w:sz="4" w:space="0"/>
              <w:right w:val="single" w:color="auto" w:sz="4" w:space="0"/>
            </w:tcBorders>
            <w:vAlign w:val="center"/>
          </w:tcPr>
          <w:p>
            <w:pPr>
              <w:pStyle w:val="22"/>
              <w:jc w:val="center"/>
              <w:rPr>
                <w:rFonts w:ascii="宋体" w:hAnsi="宋体"/>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22"/>
              <w:rPr>
                <w:rFonts w:ascii="宋体" w:hAnsi="宋体"/>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22"/>
              <w:rPr>
                <w:rFonts w:ascii="宋体" w:hAnsi="宋体"/>
                <w:szCs w:val="28"/>
              </w:rPr>
            </w:pPr>
          </w:p>
        </w:tc>
        <w:tc>
          <w:tcPr>
            <w:tcW w:w="1985" w:type="dxa"/>
            <w:tcBorders>
              <w:top w:val="single" w:color="auto" w:sz="4" w:space="0"/>
              <w:left w:val="single" w:color="auto" w:sz="4" w:space="0"/>
              <w:bottom w:val="single" w:color="auto" w:sz="4" w:space="0"/>
              <w:right w:val="single" w:color="auto" w:sz="4" w:space="0"/>
            </w:tcBorders>
          </w:tcPr>
          <w:p>
            <w:pPr>
              <w:pStyle w:val="22"/>
              <w:rPr>
                <w:rFonts w:ascii="宋体" w:hAnsi="宋体"/>
                <w:szCs w:val="28"/>
              </w:rPr>
            </w:pPr>
          </w:p>
        </w:tc>
        <w:tc>
          <w:tcPr>
            <w:tcW w:w="992" w:type="dxa"/>
            <w:tcBorders>
              <w:top w:val="single" w:color="auto" w:sz="4" w:space="0"/>
              <w:left w:val="single" w:color="auto" w:sz="4" w:space="0"/>
              <w:bottom w:val="single" w:color="auto" w:sz="4" w:space="0"/>
              <w:right w:val="single" w:color="auto" w:sz="4" w:space="0"/>
            </w:tcBorders>
            <w:vAlign w:val="center"/>
          </w:tcPr>
          <w:p>
            <w:pPr>
              <w:pStyle w:val="22"/>
              <w:rPr>
                <w:rFonts w:ascii="宋体" w:hAnsi="宋体"/>
                <w:szCs w:val="28"/>
              </w:rPr>
            </w:pPr>
          </w:p>
        </w:tc>
        <w:tc>
          <w:tcPr>
            <w:tcW w:w="1843" w:type="dxa"/>
            <w:tcBorders>
              <w:left w:val="single" w:color="auto" w:sz="4" w:space="0"/>
              <w:bottom w:val="single" w:color="auto" w:sz="4" w:space="0"/>
              <w:right w:val="single" w:color="auto" w:sz="4" w:space="0"/>
            </w:tcBorders>
          </w:tcPr>
          <w:p>
            <w:pPr>
              <w:pStyle w:val="22"/>
              <w:rPr>
                <w:rFonts w:ascii="宋体" w:hAnsi="宋体"/>
                <w:szCs w:val="28"/>
              </w:rPr>
            </w:pPr>
          </w:p>
        </w:tc>
        <w:tc>
          <w:tcPr>
            <w:tcW w:w="1275" w:type="dxa"/>
            <w:tcBorders>
              <w:left w:val="single" w:color="auto" w:sz="4" w:space="0"/>
              <w:bottom w:val="single" w:color="auto" w:sz="4" w:space="0"/>
              <w:right w:val="single" w:color="auto" w:sz="4" w:space="0"/>
            </w:tcBorders>
          </w:tcPr>
          <w:p>
            <w:pPr>
              <w:pStyle w:val="22"/>
              <w:rPr>
                <w:rFonts w:ascii="宋体" w:hAnsi="宋体"/>
                <w:szCs w:val="28"/>
              </w:rPr>
            </w:pPr>
          </w:p>
        </w:tc>
      </w:tr>
    </w:tbl>
    <w:p>
      <w:pPr>
        <w:pStyle w:val="22"/>
        <w:spacing w:line="360" w:lineRule="auto"/>
        <w:jc w:val="left"/>
        <w:rPr>
          <w:rFonts w:ascii="宋体" w:hAnsi="宋体"/>
          <w:szCs w:val="28"/>
        </w:rPr>
      </w:pPr>
      <w:r>
        <w:rPr>
          <w:rFonts w:hint="eastAsia" w:ascii="宋体" w:hAnsi="宋体"/>
          <w:szCs w:val="28"/>
        </w:rPr>
        <w:t>说明：必须附相关证明材料的完整清晰彩色复印件，否则评委在评审时将不予承认。</w:t>
      </w:r>
    </w:p>
    <w:p>
      <w:pPr>
        <w:pStyle w:val="22"/>
        <w:spacing w:line="360" w:lineRule="auto"/>
        <w:jc w:val="left"/>
        <w:rPr>
          <w:rFonts w:ascii="宋体" w:hAnsi="宋体"/>
          <w:szCs w:val="28"/>
        </w:rPr>
      </w:pPr>
    </w:p>
    <w:p>
      <w:pPr>
        <w:pStyle w:val="22"/>
        <w:tabs>
          <w:tab w:val="left" w:pos="750"/>
        </w:tabs>
        <w:adjustRightInd w:val="0"/>
        <w:snapToGrid w:val="0"/>
        <w:spacing w:line="500" w:lineRule="exact"/>
        <w:rPr>
          <w:rFonts w:ascii="宋体" w:hAnsi="宋体"/>
          <w:szCs w:val="28"/>
        </w:rPr>
      </w:pPr>
      <w:r>
        <w:rPr>
          <w:rFonts w:ascii="宋体" w:hAnsi="宋体"/>
          <w:szCs w:val="28"/>
        </w:rPr>
        <w:t xml:space="preserve"> </w:t>
      </w:r>
    </w:p>
    <w:p>
      <w:pPr>
        <w:pStyle w:val="22"/>
        <w:widowControl/>
        <w:jc w:val="left"/>
        <w:rPr>
          <w:rFonts w:ascii="宋体" w:hAnsi="宋体"/>
          <w:szCs w:val="28"/>
        </w:rPr>
      </w:pPr>
    </w:p>
    <w:p>
      <w:pPr>
        <w:pStyle w:val="35"/>
        <w:jc w:val="center"/>
        <w:rPr>
          <w:rFonts w:ascii="宋体" w:hAnsi="宋体"/>
        </w:rPr>
      </w:pPr>
      <w:r>
        <w:rPr>
          <w:rFonts w:ascii="宋体" w:hAnsi="宋体"/>
        </w:rPr>
        <w:br w:type="page"/>
      </w:r>
      <w:bookmarkStart w:id="140" w:name="_Toc5974935"/>
      <w:bookmarkStart w:id="141" w:name="_Toc519362012"/>
      <w:r>
        <w:rPr>
          <w:rFonts w:hint="eastAsia" w:ascii="宋体" w:hAnsi="宋体"/>
        </w:rPr>
        <w:t>投标人类似项目业绩表</w:t>
      </w:r>
      <w:bookmarkEnd w:id="140"/>
      <w:bookmarkEnd w:id="141"/>
    </w:p>
    <w:p>
      <w:pPr>
        <w:pStyle w:val="22"/>
        <w:adjustRightInd w:val="0"/>
        <w:snapToGrid w:val="0"/>
        <w:spacing w:line="500" w:lineRule="exact"/>
        <w:rPr>
          <w:rFonts w:ascii="宋体" w:hAnsi="宋体"/>
          <w:szCs w:val="28"/>
        </w:rPr>
      </w:pPr>
      <w:r>
        <w:rPr>
          <w:rFonts w:hint="eastAsia" w:ascii="宋体" w:hAnsi="宋体"/>
          <w:szCs w:val="28"/>
        </w:rPr>
        <w:t>采购项目编号：</w:t>
      </w:r>
      <w:r>
        <w:rPr>
          <w:rFonts w:ascii="宋体" w:hAnsi="宋体"/>
          <w:szCs w:val="28"/>
          <w:u w:val="single"/>
        </w:rPr>
        <w:t xml:space="preserve">                              </w:t>
      </w:r>
      <w:r>
        <w:rPr>
          <w:rFonts w:ascii="宋体" w:hAnsi="宋体"/>
          <w:szCs w:val="28"/>
        </w:rPr>
        <w:t xml:space="preserve">     </w:t>
      </w:r>
    </w:p>
    <w:p>
      <w:pPr>
        <w:pStyle w:val="22"/>
        <w:adjustRightInd w:val="0"/>
        <w:snapToGrid w:val="0"/>
        <w:spacing w:line="500" w:lineRule="exact"/>
        <w:rPr>
          <w:rFonts w:ascii="宋体" w:hAnsi="宋体"/>
          <w:szCs w:val="28"/>
          <w:u w:val="single"/>
        </w:rPr>
      </w:pPr>
      <w:r>
        <w:rPr>
          <w:rFonts w:hint="eastAsia" w:ascii="宋体" w:hAnsi="宋体"/>
          <w:szCs w:val="28"/>
        </w:rPr>
        <w:t>采购项目名称：</w:t>
      </w:r>
      <w:r>
        <w:rPr>
          <w:rFonts w:ascii="宋体" w:hAnsi="宋体"/>
          <w:szCs w:val="28"/>
          <w:u w:val="single"/>
        </w:rPr>
        <w:t xml:space="preserve">                              </w:t>
      </w:r>
    </w:p>
    <w:tbl>
      <w:tblPr>
        <w:tblStyle w:val="13"/>
        <w:tblW w:w="91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7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908" w:type="dxa"/>
            <w:vAlign w:val="center"/>
          </w:tcPr>
          <w:p>
            <w:pPr>
              <w:pStyle w:val="22"/>
              <w:jc w:val="center"/>
              <w:rPr>
                <w:rFonts w:ascii="宋体" w:hAnsi="宋体"/>
                <w:szCs w:val="28"/>
              </w:rPr>
            </w:pPr>
            <w:r>
              <w:rPr>
                <w:rFonts w:hint="eastAsia" w:ascii="宋体" w:hAnsi="宋体"/>
                <w:szCs w:val="28"/>
              </w:rPr>
              <w:t>项目名称</w:t>
            </w:r>
          </w:p>
        </w:tc>
        <w:tc>
          <w:tcPr>
            <w:tcW w:w="7200" w:type="dxa"/>
          </w:tcPr>
          <w:p>
            <w:pPr>
              <w:pStyle w:val="22"/>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1908" w:type="dxa"/>
            <w:vAlign w:val="center"/>
          </w:tcPr>
          <w:p>
            <w:pPr>
              <w:pStyle w:val="22"/>
              <w:jc w:val="center"/>
              <w:rPr>
                <w:rFonts w:ascii="宋体" w:hAnsi="宋体"/>
                <w:szCs w:val="28"/>
              </w:rPr>
            </w:pPr>
            <w:r>
              <w:rPr>
                <w:rFonts w:hint="eastAsia" w:ascii="宋体" w:hAnsi="宋体"/>
                <w:szCs w:val="28"/>
              </w:rPr>
              <w:t>项目单位名称</w:t>
            </w:r>
          </w:p>
        </w:tc>
        <w:tc>
          <w:tcPr>
            <w:tcW w:w="7200" w:type="dxa"/>
          </w:tcPr>
          <w:p>
            <w:pPr>
              <w:pStyle w:val="22"/>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1908" w:type="dxa"/>
            <w:vAlign w:val="center"/>
          </w:tcPr>
          <w:p>
            <w:pPr>
              <w:pStyle w:val="22"/>
              <w:jc w:val="center"/>
              <w:rPr>
                <w:rFonts w:ascii="宋体" w:hAnsi="宋体"/>
                <w:szCs w:val="28"/>
              </w:rPr>
            </w:pPr>
            <w:r>
              <w:rPr>
                <w:rFonts w:hint="eastAsia" w:ascii="宋体" w:hAnsi="宋体"/>
                <w:szCs w:val="28"/>
              </w:rPr>
              <w:t>项目单位联系人姓名及联系方式</w:t>
            </w:r>
          </w:p>
        </w:tc>
        <w:tc>
          <w:tcPr>
            <w:tcW w:w="7200" w:type="dxa"/>
          </w:tcPr>
          <w:p>
            <w:pPr>
              <w:pStyle w:val="22"/>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1908" w:type="dxa"/>
            <w:vAlign w:val="center"/>
          </w:tcPr>
          <w:p>
            <w:pPr>
              <w:pStyle w:val="22"/>
              <w:jc w:val="center"/>
              <w:rPr>
                <w:rFonts w:ascii="宋体" w:hAnsi="宋体"/>
                <w:szCs w:val="28"/>
              </w:rPr>
            </w:pPr>
            <w:r>
              <w:rPr>
                <w:rFonts w:hint="eastAsia" w:ascii="宋体" w:hAnsi="宋体"/>
                <w:szCs w:val="28"/>
              </w:rPr>
              <w:t>合同金额</w:t>
            </w:r>
          </w:p>
        </w:tc>
        <w:tc>
          <w:tcPr>
            <w:tcW w:w="7200" w:type="dxa"/>
          </w:tcPr>
          <w:p>
            <w:pPr>
              <w:pStyle w:val="22"/>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3" w:hRule="atLeast"/>
          <w:jc w:val="center"/>
        </w:trPr>
        <w:tc>
          <w:tcPr>
            <w:tcW w:w="1908" w:type="dxa"/>
            <w:vAlign w:val="center"/>
          </w:tcPr>
          <w:p>
            <w:pPr>
              <w:pStyle w:val="22"/>
              <w:jc w:val="center"/>
              <w:rPr>
                <w:rFonts w:ascii="宋体" w:hAnsi="宋体"/>
                <w:szCs w:val="28"/>
              </w:rPr>
            </w:pPr>
            <w:r>
              <w:rPr>
                <w:rFonts w:hint="eastAsia" w:ascii="宋体" w:hAnsi="宋体"/>
                <w:szCs w:val="28"/>
              </w:rPr>
              <w:t>项目负责人</w:t>
            </w:r>
          </w:p>
          <w:p>
            <w:pPr>
              <w:pStyle w:val="22"/>
              <w:jc w:val="center"/>
              <w:rPr>
                <w:rFonts w:ascii="宋体" w:hAnsi="宋体"/>
                <w:szCs w:val="28"/>
              </w:rPr>
            </w:pPr>
            <w:r>
              <w:rPr>
                <w:rFonts w:hint="eastAsia" w:ascii="宋体" w:hAnsi="宋体"/>
                <w:szCs w:val="28"/>
              </w:rPr>
              <w:t>姓名</w:t>
            </w:r>
          </w:p>
        </w:tc>
        <w:tc>
          <w:tcPr>
            <w:tcW w:w="7200" w:type="dxa"/>
          </w:tcPr>
          <w:p>
            <w:pPr>
              <w:pStyle w:val="22"/>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1908" w:type="dxa"/>
            <w:vAlign w:val="center"/>
          </w:tcPr>
          <w:p>
            <w:pPr>
              <w:pStyle w:val="22"/>
              <w:jc w:val="center"/>
              <w:rPr>
                <w:rFonts w:ascii="宋体" w:hAnsi="宋体"/>
                <w:szCs w:val="28"/>
              </w:rPr>
            </w:pPr>
            <w:r>
              <w:rPr>
                <w:rFonts w:hint="eastAsia" w:ascii="宋体" w:hAnsi="宋体"/>
                <w:szCs w:val="28"/>
              </w:rPr>
              <w:t>项目实施时间</w:t>
            </w:r>
          </w:p>
        </w:tc>
        <w:tc>
          <w:tcPr>
            <w:tcW w:w="7200" w:type="dxa"/>
          </w:tcPr>
          <w:p>
            <w:pPr>
              <w:pStyle w:val="22"/>
              <w:jc w:val="center"/>
              <w:rPr>
                <w:rFonts w:ascii="宋体" w:hAnsi="宋体"/>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8" w:hRule="atLeast"/>
          <w:jc w:val="center"/>
        </w:trPr>
        <w:tc>
          <w:tcPr>
            <w:tcW w:w="1908" w:type="dxa"/>
            <w:vAlign w:val="center"/>
          </w:tcPr>
          <w:p>
            <w:pPr>
              <w:pStyle w:val="22"/>
              <w:jc w:val="center"/>
              <w:rPr>
                <w:rFonts w:ascii="宋体" w:hAnsi="宋体"/>
                <w:szCs w:val="28"/>
              </w:rPr>
            </w:pPr>
            <w:r>
              <w:rPr>
                <w:rFonts w:hint="eastAsia" w:ascii="宋体" w:hAnsi="宋体"/>
                <w:szCs w:val="28"/>
              </w:rPr>
              <w:t>项目内容说明</w:t>
            </w:r>
          </w:p>
        </w:tc>
        <w:tc>
          <w:tcPr>
            <w:tcW w:w="7200" w:type="dxa"/>
          </w:tcPr>
          <w:p>
            <w:pPr>
              <w:pStyle w:val="22"/>
              <w:jc w:val="center"/>
              <w:rPr>
                <w:rFonts w:ascii="宋体" w:hAnsi="宋体"/>
                <w:szCs w:val="28"/>
              </w:rPr>
            </w:pPr>
          </w:p>
        </w:tc>
      </w:tr>
    </w:tbl>
    <w:p>
      <w:pPr>
        <w:pStyle w:val="22"/>
        <w:autoSpaceDE w:val="0"/>
        <w:autoSpaceDN w:val="0"/>
        <w:spacing w:line="360" w:lineRule="auto"/>
        <w:rPr>
          <w:rFonts w:ascii="宋体" w:hAnsi="宋体"/>
          <w:szCs w:val="28"/>
        </w:rPr>
      </w:pPr>
      <w:r>
        <w:rPr>
          <w:rFonts w:hint="eastAsia" w:ascii="宋体" w:hAnsi="宋体"/>
          <w:szCs w:val="28"/>
        </w:rPr>
        <w:t>说明：</w:t>
      </w:r>
      <w:r>
        <w:rPr>
          <w:rFonts w:ascii="宋体" w:hAnsi="宋体"/>
          <w:szCs w:val="28"/>
        </w:rPr>
        <w:t>1．每个合同须单独附表，并附上相关证明材料</w:t>
      </w:r>
      <w:r>
        <w:rPr>
          <w:rFonts w:hint="eastAsia" w:ascii="宋体" w:hAnsi="宋体"/>
          <w:szCs w:val="28"/>
        </w:rPr>
        <w:t>合同彩色复印件须包括但不限于首页、合同金额页、盖章页，否则评审专家在评审时将不予采信；</w:t>
      </w:r>
    </w:p>
    <w:p>
      <w:pPr>
        <w:pStyle w:val="22"/>
        <w:spacing w:line="360" w:lineRule="auto"/>
        <w:ind w:firstLine="840" w:firstLineChars="300"/>
        <w:rPr>
          <w:rFonts w:ascii="宋体" w:hAnsi="宋体"/>
          <w:szCs w:val="28"/>
        </w:rPr>
      </w:pPr>
      <w:r>
        <w:rPr>
          <w:rFonts w:ascii="宋体" w:hAnsi="宋体"/>
          <w:szCs w:val="28"/>
        </w:rPr>
        <w:t>2．项目内容请详细说明所承担的具体工作内容，如：网络建设、系统集成、软件开发、网站建设等；</w:t>
      </w:r>
    </w:p>
    <w:p>
      <w:pPr>
        <w:pStyle w:val="35"/>
        <w:jc w:val="center"/>
        <w:rPr>
          <w:rFonts w:ascii="宋体" w:hAnsi="宋体"/>
        </w:rPr>
      </w:pPr>
      <w:r>
        <w:rPr>
          <w:rFonts w:ascii="宋体" w:hAnsi="宋体"/>
        </w:rPr>
        <w:br w:type="page"/>
      </w:r>
      <w:bookmarkStart w:id="142" w:name="_Toc519362013"/>
      <w:bookmarkStart w:id="143" w:name="_Toc5974936"/>
      <w:r>
        <w:rPr>
          <w:rFonts w:hint="eastAsia" w:ascii="宋体" w:hAnsi="宋体"/>
        </w:rPr>
        <w:t>资格性审查对照表</w:t>
      </w:r>
      <w:bookmarkEnd w:id="142"/>
      <w:bookmarkEnd w:id="143"/>
    </w:p>
    <w:p>
      <w:pPr>
        <w:pStyle w:val="22"/>
        <w:rPr>
          <w:rFonts w:ascii="宋体" w:hAnsi="宋体"/>
          <w:szCs w:val="28"/>
        </w:rPr>
      </w:pPr>
      <w:r>
        <w:rPr>
          <w:rFonts w:ascii="宋体" w:hAnsi="宋体"/>
          <w:szCs w:val="28"/>
        </w:rPr>
        <w:t xml:space="preserve">                      </w:t>
      </w:r>
    </w:p>
    <w:tbl>
      <w:tblPr>
        <w:tblStyle w:val="13"/>
        <w:tblW w:w="9073"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2422"/>
        <w:gridCol w:w="2422"/>
        <w:gridCol w:w="1418"/>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1076" w:type="dxa"/>
            <w:shd w:val="pct10" w:color="auto" w:fill="auto"/>
            <w:vAlign w:val="center"/>
          </w:tcPr>
          <w:p>
            <w:pPr>
              <w:pStyle w:val="22"/>
              <w:jc w:val="center"/>
              <w:rPr>
                <w:rFonts w:ascii="宋体" w:hAnsi="宋体"/>
                <w:szCs w:val="28"/>
              </w:rPr>
            </w:pPr>
            <w:r>
              <w:rPr>
                <w:rFonts w:hint="eastAsia" w:ascii="宋体" w:hAnsi="宋体"/>
                <w:szCs w:val="28"/>
              </w:rPr>
              <w:t>序号</w:t>
            </w:r>
          </w:p>
        </w:tc>
        <w:tc>
          <w:tcPr>
            <w:tcW w:w="2422" w:type="dxa"/>
            <w:shd w:val="pct10" w:color="auto" w:fill="auto"/>
            <w:vAlign w:val="center"/>
          </w:tcPr>
          <w:p>
            <w:pPr>
              <w:pStyle w:val="22"/>
              <w:jc w:val="center"/>
              <w:rPr>
                <w:rFonts w:ascii="宋体" w:hAnsi="宋体"/>
                <w:szCs w:val="28"/>
              </w:rPr>
            </w:pPr>
            <w:r>
              <w:rPr>
                <w:rFonts w:hint="eastAsia" w:ascii="宋体" w:hAnsi="宋体"/>
                <w:szCs w:val="28"/>
              </w:rPr>
              <w:t>招标文件</w:t>
            </w:r>
          </w:p>
          <w:p>
            <w:pPr>
              <w:pStyle w:val="22"/>
              <w:jc w:val="center"/>
              <w:rPr>
                <w:rFonts w:ascii="宋体" w:hAnsi="宋体"/>
                <w:szCs w:val="28"/>
              </w:rPr>
            </w:pPr>
            <w:r>
              <w:rPr>
                <w:rFonts w:hint="eastAsia" w:ascii="宋体" w:hAnsi="宋体"/>
                <w:szCs w:val="28"/>
              </w:rPr>
              <w:t>资格性审查条款</w:t>
            </w:r>
          </w:p>
        </w:tc>
        <w:tc>
          <w:tcPr>
            <w:tcW w:w="2422" w:type="dxa"/>
            <w:shd w:val="pct10" w:color="auto" w:fill="auto"/>
            <w:vAlign w:val="center"/>
          </w:tcPr>
          <w:p>
            <w:pPr>
              <w:pStyle w:val="22"/>
              <w:jc w:val="center"/>
              <w:rPr>
                <w:rFonts w:ascii="宋体" w:hAnsi="宋体"/>
                <w:szCs w:val="28"/>
              </w:rPr>
            </w:pPr>
            <w:r>
              <w:rPr>
                <w:rFonts w:hint="eastAsia" w:ascii="宋体" w:hAnsi="宋体"/>
                <w:szCs w:val="28"/>
              </w:rPr>
              <w:t>投标文件</w:t>
            </w:r>
          </w:p>
          <w:p>
            <w:pPr>
              <w:pStyle w:val="22"/>
              <w:jc w:val="center"/>
              <w:rPr>
                <w:rFonts w:ascii="宋体" w:hAnsi="宋体"/>
                <w:szCs w:val="28"/>
              </w:rPr>
            </w:pPr>
            <w:r>
              <w:rPr>
                <w:rFonts w:hint="eastAsia" w:ascii="宋体" w:hAnsi="宋体"/>
                <w:szCs w:val="28"/>
              </w:rPr>
              <w:t>响应部分</w:t>
            </w:r>
          </w:p>
        </w:tc>
        <w:tc>
          <w:tcPr>
            <w:tcW w:w="1418" w:type="dxa"/>
            <w:shd w:val="pct10" w:color="auto" w:fill="auto"/>
            <w:vAlign w:val="center"/>
          </w:tcPr>
          <w:p>
            <w:pPr>
              <w:pStyle w:val="22"/>
              <w:jc w:val="center"/>
              <w:rPr>
                <w:rFonts w:ascii="宋体" w:hAnsi="宋体"/>
                <w:szCs w:val="28"/>
              </w:rPr>
            </w:pPr>
            <w:r>
              <w:rPr>
                <w:rFonts w:hint="eastAsia" w:ascii="宋体" w:hAnsi="宋体"/>
                <w:szCs w:val="28"/>
              </w:rPr>
              <w:t>偏离说明</w:t>
            </w:r>
          </w:p>
        </w:tc>
        <w:tc>
          <w:tcPr>
            <w:tcW w:w="1735" w:type="dxa"/>
            <w:shd w:val="pct10" w:color="auto" w:fill="auto"/>
          </w:tcPr>
          <w:p>
            <w:pPr>
              <w:pStyle w:val="22"/>
              <w:jc w:val="center"/>
              <w:rPr>
                <w:rFonts w:ascii="宋体" w:hAnsi="宋体"/>
                <w:szCs w:val="28"/>
              </w:rPr>
            </w:pPr>
            <w:r>
              <w:rPr>
                <w:rFonts w:hint="eastAsia" w:ascii="宋体" w:hAnsi="宋体"/>
                <w:szCs w:val="28"/>
              </w:rPr>
              <w:t>投标文件中对应的页码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1076" w:type="dxa"/>
            <w:vAlign w:val="center"/>
          </w:tcPr>
          <w:p>
            <w:pPr>
              <w:pStyle w:val="22"/>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1418" w:type="dxa"/>
            <w:vAlign w:val="center"/>
          </w:tcPr>
          <w:p>
            <w:pPr>
              <w:pStyle w:val="22"/>
              <w:jc w:val="center"/>
              <w:rPr>
                <w:rFonts w:ascii="宋体" w:hAnsi="宋体" w:cs="仿宋_GB2312"/>
                <w:szCs w:val="28"/>
              </w:rPr>
            </w:pPr>
          </w:p>
        </w:tc>
        <w:tc>
          <w:tcPr>
            <w:tcW w:w="1735"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1076" w:type="dxa"/>
            <w:vAlign w:val="center"/>
          </w:tcPr>
          <w:p>
            <w:pPr>
              <w:pStyle w:val="22"/>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1418" w:type="dxa"/>
            <w:vAlign w:val="center"/>
          </w:tcPr>
          <w:p>
            <w:pPr>
              <w:pStyle w:val="22"/>
              <w:jc w:val="center"/>
              <w:rPr>
                <w:rFonts w:ascii="宋体" w:hAnsi="宋体" w:cs="仿宋_GB2312"/>
                <w:szCs w:val="28"/>
              </w:rPr>
            </w:pPr>
          </w:p>
        </w:tc>
        <w:tc>
          <w:tcPr>
            <w:tcW w:w="1735"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1076" w:type="dxa"/>
            <w:vAlign w:val="center"/>
          </w:tcPr>
          <w:p>
            <w:pPr>
              <w:pStyle w:val="22"/>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1418" w:type="dxa"/>
            <w:vAlign w:val="center"/>
          </w:tcPr>
          <w:p>
            <w:pPr>
              <w:pStyle w:val="22"/>
              <w:jc w:val="center"/>
              <w:rPr>
                <w:rFonts w:ascii="宋体" w:hAnsi="宋体" w:cs="仿宋_GB2312"/>
                <w:szCs w:val="28"/>
              </w:rPr>
            </w:pPr>
          </w:p>
        </w:tc>
        <w:tc>
          <w:tcPr>
            <w:tcW w:w="1735"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1076" w:type="dxa"/>
            <w:vAlign w:val="center"/>
          </w:tcPr>
          <w:p>
            <w:pPr>
              <w:pStyle w:val="22"/>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1418" w:type="dxa"/>
            <w:vAlign w:val="center"/>
          </w:tcPr>
          <w:p>
            <w:pPr>
              <w:pStyle w:val="22"/>
              <w:jc w:val="center"/>
              <w:rPr>
                <w:rFonts w:ascii="宋体" w:hAnsi="宋体" w:cs="仿宋_GB2312"/>
                <w:szCs w:val="28"/>
              </w:rPr>
            </w:pPr>
          </w:p>
        </w:tc>
        <w:tc>
          <w:tcPr>
            <w:tcW w:w="1735"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1076" w:type="dxa"/>
            <w:vAlign w:val="center"/>
          </w:tcPr>
          <w:p>
            <w:pPr>
              <w:pStyle w:val="22"/>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1418" w:type="dxa"/>
            <w:vAlign w:val="center"/>
          </w:tcPr>
          <w:p>
            <w:pPr>
              <w:pStyle w:val="22"/>
              <w:jc w:val="center"/>
              <w:rPr>
                <w:rFonts w:ascii="宋体" w:hAnsi="宋体" w:cs="仿宋_GB2312"/>
                <w:szCs w:val="28"/>
              </w:rPr>
            </w:pPr>
          </w:p>
        </w:tc>
        <w:tc>
          <w:tcPr>
            <w:tcW w:w="1735"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1076" w:type="dxa"/>
            <w:vAlign w:val="center"/>
          </w:tcPr>
          <w:p>
            <w:pPr>
              <w:pStyle w:val="22"/>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1418" w:type="dxa"/>
            <w:vAlign w:val="center"/>
          </w:tcPr>
          <w:p>
            <w:pPr>
              <w:pStyle w:val="22"/>
              <w:jc w:val="center"/>
              <w:rPr>
                <w:rFonts w:ascii="宋体" w:hAnsi="宋体" w:cs="仿宋_GB2312"/>
                <w:szCs w:val="28"/>
              </w:rPr>
            </w:pPr>
          </w:p>
        </w:tc>
        <w:tc>
          <w:tcPr>
            <w:tcW w:w="1735"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1076" w:type="dxa"/>
            <w:vAlign w:val="center"/>
          </w:tcPr>
          <w:p>
            <w:pPr>
              <w:pStyle w:val="22"/>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1418" w:type="dxa"/>
            <w:vAlign w:val="center"/>
          </w:tcPr>
          <w:p>
            <w:pPr>
              <w:pStyle w:val="22"/>
              <w:jc w:val="center"/>
              <w:rPr>
                <w:rFonts w:ascii="宋体" w:hAnsi="宋体" w:cs="仿宋_GB2312"/>
                <w:szCs w:val="28"/>
              </w:rPr>
            </w:pPr>
          </w:p>
        </w:tc>
        <w:tc>
          <w:tcPr>
            <w:tcW w:w="1735"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1076" w:type="dxa"/>
            <w:vAlign w:val="center"/>
          </w:tcPr>
          <w:p>
            <w:pPr>
              <w:pStyle w:val="22"/>
              <w:rPr>
                <w:rFonts w:ascii="宋体" w:hAnsi="宋体" w:cs="仿宋_GB2312"/>
                <w:szCs w:val="28"/>
              </w:rPr>
            </w:pPr>
            <w:r>
              <w:rPr>
                <w:rFonts w:hint="eastAsia" w:ascii="宋体" w:hAnsi="宋体" w:cs="仿宋_GB2312"/>
                <w:szCs w:val="28"/>
              </w:rPr>
              <w:t>…</w:t>
            </w:r>
          </w:p>
        </w:tc>
        <w:tc>
          <w:tcPr>
            <w:tcW w:w="2422" w:type="dxa"/>
            <w:vAlign w:val="center"/>
          </w:tcPr>
          <w:p>
            <w:pPr>
              <w:pStyle w:val="22"/>
              <w:jc w:val="center"/>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1418" w:type="dxa"/>
            <w:vAlign w:val="center"/>
          </w:tcPr>
          <w:p>
            <w:pPr>
              <w:pStyle w:val="22"/>
              <w:jc w:val="center"/>
              <w:rPr>
                <w:rFonts w:ascii="宋体" w:hAnsi="宋体" w:cs="仿宋_GB2312"/>
                <w:szCs w:val="28"/>
              </w:rPr>
            </w:pPr>
          </w:p>
        </w:tc>
        <w:tc>
          <w:tcPr>
            <w:tcW w:w="1735" w:type="dxa"/>
            <w:vAlign w:val="center"/>
          </w:tcPr>
          <w:p>
            <w:pPr>
              <w:pStyle w:val="22"/>
              <w:jc w:val="center"/>
              <w:rPr>
                <w:rFonts w:ascii="宋体" w:hAnsi="宋体" w:cs="仿宋_GB2312"/>
                <w:szCs w:val="28"/>
              </w:rPr>
            </w:pPr>
          </w:p>
        </w:tc>
      </w:tr>
    </w:tbl>
    <w:p>
      <w:pPr>
        <w:pStyle w:val="22"/>
        <w:adjustRightInd w:val="0"/>
        <w:snapToGrid w:val="0"/>
        <w:spacing w:line="360" w:lineRule="auto"/>
        <w:ind w:left="840" w:hanging="840" w:hangingChars="300"/>
        <w:rPr>
          <w:rFonts w:ascii="宋体" w:hAnsi="宋体" w:cs="Corbel"/>
          <w:szCs w:val="28"/>
        </w:rPr>
      </w:pPr>
      <w:r>
        <w:rPr>
          <w:rFonts w:hint="eastAsia" w:ascii="宋体" w:hAnsi="宋体" w:cs="Corbel"/>
          <w:szCs w:val="28"/>
        </w:rPr>
        <w:t>注：</w:t>
      </w:r>
      <w:r>
        <w:rPr>
          <w:rFonts w:ascii="宋体" w:hAnsi="宋体" w:cs="Corbel"/>
          <w:szCs w:val="28"/>
        </w:rPr>
        <w:t>1.投标人须对照招标文件第</w:t>
      </w:r>
      <w:r>
        <w:rPr>
          <w:rFonts w:hint="eastAsia" w:ascii="宋体" w:hAnsi="宋体" w:cs="Corbel"/>
          <w:szCs w:val="28"/>
        </w:rPr>
        <w:t>三</w:t>
      </w:r>
      <w:r>
        <w:rPr>
          <w:rFonts w:ascii="宋体" w:hAnsi="宋体" w:cs="Corbel"/>
          <w:szCs w:val="28"/>
        </w:rPr>
        <w:t>章“资格审查及评标方法”中“资格性审查”的条款逐项说明是否满足要求，如有偏离,投标人必须详细说明。</w:t>
      </w:r>
    </w:p>
    <w:p>
      <w:pPr>
        <w:pStyle w:val="22"/>
        <w:adjustRightInd w:val="0"/>
        <w:snapToGrid w:val="0"/>
        <w:spacing w:line="300" w:lineRule="auto"/>
        <w:ind w:firstLine="560" w:firstLineChars="200"/>
        <w:rPr>
          <w:rFonts w:ascii="宋体" w:hAnsi="宋体" w:cs="Corbel"/>
          <w:szCs w:val="28"/>
        </w:rPr>
      </w:pPr>
      <w:r>
        <w:rPr>
          <w:rFonts w:ascii="宋体" w:hAnsi="宋体" w:cs="Corbel"/>
          <w:szCs w:val="28"/>
        </w:rPr>
        <w:t>2.投标人须提供投标内容响应资料在投标文件中的具体页码。</w:t>
      </w:r>
    </w:p>
    <w:p>
      <w:pPr>
        <w:pStyle w:val="22"/>
        <w:widowControl/>
        <w:jc w:val="left"/>
        <w:rPr>
          <w:rFonts w:ascii="宋体" w:hAnsi="宋体"/>
          <w:b/>
          <w:szCs w:val="28"/>
        </w:rPr>
      </w:pPr>
    </w:p>
    <w:p>
      <w:pPr>
        <w:pStyle w:val="35"/>
        <w:jc w:val="center"/>
        <w:rPr>
          <w:rFonts w:ascii="宋体" w:hAnsi="宋体"/>
        </w:rPr>
      </w:pPr>
      <w:r>
        <w:rPr>
          <w:rFonts w:ascii="宋体" w:hAnsi="宋体"/>
        </w:rPr>
        <w:br w:type="page"/>
      </w:r>
      <w:bookmarkStart w:id="144" w:name="_Toc519362014"/>
      <w:bookmarkStart w:id="145" w:name="_Toc5974937"/>
      <w:r>
        <w:rPr>
          <w:rFonts w:hint="eastAsia" w:ascii="宋体" w:hAnsi="宋体"/>
        </w:rPr>
        <w:t>符合性审查对照表</w:t>
      </w:r>
      <w:bookmarkEnd w:id="144"/>
      <w:bookmarkEnd w:id="145"/>
    </w:p>
    <w:p>
      <w:pPr>
        <w:pStyle w:val="22"/>
        <w:adjustRightInd w:val="0"/>
        <w:snapToGrid w:val="0"/>
        <w:spacing w:line="500" w:lineRule="exact"/>
        <w:rPr>
          <w:rFonts w:ascii="宋体" w:hAnsi="宋体"/>
          <w:szCs w:val="28"/>
        </w:rPr>
      </w:pPr>
      <w:r>
        <w:rPr>
          <w:rFonts w:hint="eastAsia" w:ascii="宋体" w:hAnsi="宋体"/>
          <w:szCs w:val="28"/>
        </w:rPr>
        <w:t>采购项目编号：</w:t>
      </w:r>
      <w:r>
        <w:rPr>
          <w:rFonts w:ascii="宋体" w:hAnsi="宋体"/>
          <w:szCs w:val="28"/>
          <w:u w:val="single"/>
        </w:rPr>
        <w:t xml:space="preserve">                              </w:t>
      </w:r>
      <w:r>
        <w:rPr>
          <w:rFonts w:ascii="宋体" w:hAnsi="宋体"/>
          <w:szCs w:val="28"/>
        </w:rPr>
        <w:t xml:space="preserve">     </w:t>
      </w:r>
    </w:p>
    <w:p>
      <w:pPr>
        <w:pStyle w:val="22"/>
        <w:adjustRightInd w:val="0"/>
        <w:snapToGrid w:val="0"/>
        <w:spacing w:line="500" w:lineRule="exact"/>
        <w:rPr>
          <w:rFonts w:ascii="宋体" w:hAnsi="宋体"/>
          <w:szCs w:val="28"/>
          <w:u w:val="single"/>
        </w:rPr>
      </w:pPr>
      <w:r>
        <w:rPr>
          <w:rFonts w:hint="eastAsia" w:ascii="宋体" w:hAnsi="宋体"/>
          <w:szCs w:val="28"/>
        </w:rPr>
        <w:t>采购项目名称：</w:t>
      </w:r>
      <w:r>
        <w:rPr>
          <w:rFonts w:ascii="宋体" w:hAnsi="宋体"/>
          <w:szCs w:val="28"/>
          <w:u w:val="single"/>
        </w:rPr>
        <w:t xml:space="preserve">                              </w:t>
      </w:r>
    </w:p>
    <w:tbl>
      <w:tblPr>
        <w:tblStyle w:val="13"/>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2221"/>
        <w:gridCol w:w="2422"/>
        <w:gridCol w:w="1418"/>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1135" w:type="dxa"/>
            <w:shd w:val="pct10" w:color="auto" w:fill="auto"/>
            <w:vAlign w:val="center"/>
          </w:tcPr>
          <w:p>
            <w:pPr>
              <w:pStyle w:val="22"/>
              <w:jc w:val="center"/>
              <w:rPr>
                <w:rFonts w:ascii="宋体" w:hAnsi="宋体"/>
                <w:szCs w:val="28"/>
              </w:rPr>
            </w:pPr>
            <w:r>
              <w:rPr>
                <w:rFonts w:hint="eastAsia" w:ascii="宋体" w:hAnsi="宋体"/>
                <w:szCs w:val="28"/>
              </w:rPr>
              <w:t>序号</w:t>
            </w:r>
          </w:p>
        </w:tc>
        <w:tc>
          <w:tcPr>
            <w:tcW w:w="2221" w:type="dxa"/>
            <w:shd w:val="pct10" w:color="auto" w:fill="auto"/>
            <w:vAlign w:val="center"/>
          </w:tcPr>
          <w:p>
            <w:pPr>
              <w:pStyle w:val="22"/>
              <w:jc w:val="center"/>
              <w:rPr>
                <w:rFonts w:ascii="宋体" w:hAnsi="宋体"/>
                <w:szCs w:val="28"/>
              </w:rPr>
            </w:pPr>
            <w:r>
              <w:rPr>
                <w:rFonts w:hint="eastAsia" w:ascii="宋体" w:hAnsi="宋体"/>
                <w:szCs w:val="28"/>
              </w:rPr>
              <w:t>招标文件</w:t>
            </w:r>
          </w:p>
          <w:p>
            <w:pPr>
              <w:pStyle w:val="22"/>
              <w:jc w:val="center"/>
              <w:rPr>
                <w:rFonts w:ascii="宋体" w:hAnsi="宋体"/>
                <w:szCs w:val="28"/>
              </w:rPr>
            </w:pPr>
            <w:r>
              <w:rPr>
                <w:rFonts w:hint="eastAsia" w:ascii="宋体" w:hAnsi="宋体"/>
                <w:szCs w:val="28"/>
              </w:rPr>
              <w:t>符合性审查条款</w:t>
            </w:r>
          </w:p>
        </w:tc>
        <w:tc>
          <w:tcPr>
            <w:tcW w:w="2422" w:type="dxa"/>
            <w:shd w:val="pct10" w:color="auto" w:fill="auto"/>
            <w:vAlign w:val="center"/>
          </w:tcPr>
          <w:p>
            <w:pPr>
              <w:pStyle w:val="22"/>
              <w:jc w:val="center"/>
              <w:rPr>
                <w:rFonts w:ascii="宋体" w:hAnsi="宋体"/>
                <w:szCs w:val="28"/>
              </w:rPr>
            </w:pPr>
            <w:r>
              <w:rPr>
                <w:rFonts w:hint="eastAsia" w:ascii="宋体" w:hAnsi="宋体"/>
                <w:szCs w:val="28"/>
              </w:rPr>
              <w:t>投标文件响应部分</w:t>
            </w:r>
          </w:p>
        </w:tc>
        <w:tc>
          <w:tcPr>
            <w:tcW w:w="1418" w:type="dxa"/>
            <w:shd w:val="pct10" w:color="auto" w:fill="auto"/>
            <w:vAlign w:val="center"/>
          </w:tcPr>
          <w:p>
            <w:pPr>
              <w:pStyle w:val="22"/>
              <w:jc w:val="center"/>
              <w:rPr>
                <w:rFonts w:ascii="宋体" w:hAnsi="宋体"/>
                <w:szCs w:val="28"/>
              </w:rPr>
            </w:pPr>
            <w:r>
              <w:rPr>
                <w:rFonts w:hint="eastAsia" w:ascii="宋体" w:hAnsi="宋体"/>
                <w:szCs w:val="28"/>
              </w:rPr>
              <w:t>偏离说明</w:t>
            </w:r>
          </w:p>
        </w:tc>
        <w:tc>
          <w:tcPr>
            <w:tcW w:w="1877" w:type="dxa"/>
            <w:shd w:val="pct10" w:color="auto" w:fill="auto"/>
          </w:tcPr>
          <w:p>
            <w:pPr>
              <w:pStyle w:val="22"/>
              <w:jc w:val="center"/>
              <w:rPr>
                <w:rFonts w:ascii="宋体" w:hAnsi="宋体"/>
                <w:szCs w:val="28"/>
              </w:rPr>
            </w:pPr>
            <w:r>
              <w:rPr>
                <w:rFonts w:hint="eastAsia" w:ascii="宋体" w:hAnsi="宋体"/>
                <w:szCs w:val="28"/>
              </w:rPr>
              <w:t>投标文件中对应的页码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135" w:type="dxa"/>
            <w:vAlign w:val="center"/>
          </w:tcPr>
          <w:p>
            <w:pPr>
              <w:pStyle w:val="22"/>
              <w:ind w:left="420"/>
              <w:rPr>
                <w:rFonts w:ascii="宋体" w:hAnsi="宋体" w:cs="仿宋_GB2312"/>
                <w:szCs w:val="28"/>
              </w:rPr>
            </w:pPr>
          </w:p>
        </w:tc>
        <w:tc>
          <w:tcPr>
            <w:tcW w:w="2221" w:type="dxa"/>
            <w:vAlign w:val="center"/>
          </w:tcPr>
          <w:p>
            <w:pPr>
              <w:pStyle w:val="22"/>
              <w:jc w:val="center"/>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1418" w:type="dxa"/>
            <w:vAlign w:val="center"/>
          </w:tcPr>
          <w:p>
            <w:pPr>
              <w:pStyle w:val="22"/>
              <w:jc w:val="center"/>
              <w:rPr>
                <w:rFonts w:ascii="宋体" w:hAnsi="宋体" w:cs="仿宋_GB2312"/>
                <w:szCs w:val="28"/>
              </w:rPr>
            </w:pPr>
          </w:p>
        </w:tc>
        <w:tc>
          <w:tcPr>
            <w:tcW w:w="1877"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135" w:type="dxa"/>
            <w:vAlign w:val="center"/>
          </w:tcPr>
          <w:p>
            <w:pPr>
              <w:pStyle w:val="22"/>
              <w:ind w:left="420"/>
              <w:rPr>
                <w:rFonts w:ascii="宋体" w:hAnsi="宋体" w:cs="仿宋_GB2312"/>
                <w:szCs w:val="28"/>
              </w:rPr>
            </w:pPr>
          </w:p>
        </w:tc>
        <w:tc>
          <w:tcPr>
            <w:tcW w:w="2221" w:type="dxa"/>
            <w:vAlign w:val="center"/>
          </w:tcPr>
          <w:p>
            <w:pPr>
              <w:pStyle w:val="22"/>
              <w:jc w:val="center"/>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1418" w:type="dxa"/>
            <w:vAlign w:val="center"/>
          </w:tcPr>
          <w:p>
            <w:pPr>
              <w:pStyle w:val="22"/>
              <w:jc w:val="center"/>
              <w:rPr>
                <w:rFonts w:ascii="宋体" w:hAnsi="宋体" w:cs="仿宋_GB2312"/>
                <w:szCs w:val="28"/>
              </w:rPr>
            </w:pPr>
          </w:p>
        </w:tc>
        <w:tc>
          <w:tcPr>
            <w:tcW w:w="1877"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135" w:type="dxa"/>
            <w:vAlign w:val="center"/>
          </w:tcPr>
          <w:p>
            <w:pPr>
              <w:pStyle w:val="22"/>
              <w:ind w:left="420"/>
              <w:rPr>
                <w:rFonts w:ascii="宋体" w:hAnsi="宋体" w:cs="仿宋_GB2312"/>
                <w:szCs w:val="28"/>
              </w:rPr>
            </w:pPr>
          </w:p>
        </w:tc>
        <w:tc>
          <w:tcPr>
            <w:tcW w:w="2221" w:type="dxa"/>
            <w:vAlign w:val="center"/>
          </w:tcPr>
          <w:p>
            <w:pPr>
              <w:pStyle w:val="22"/>
              <w:jc w:val="center"/>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1418" w:type="dxa"/>
            <w:vAlign w:val="center"/>
          </w:tcPr>
          <w:p>
            <w:pPr>
              <w:pStyle w:val="22"/>
              <w:jc w:val="center"/>
              <w:rPr>
                <w:rFonts w:ascii="宋体" w:hAnsi="宋体" w:cs="仿宋_GB2312"/>
                <w:szCs w:val="28"/>
              </w:rPr>
            </w:pPr>
          </w:p>
        </w:tc>
        <w:tc>
          <w:tcPr>
            <w:tcW w:w="1877"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135" w:type="dxa"/>
            <w:vAlign w:val="center"/>
          </w:tcPr>
          <w:p>
            <w:pPr>
              <w:pStyle w:val="22"/>
              <w:ind w:left="420"/>
              <w:rPr>
                <w:rFonts w:ascii="宋体" w:hAnsi="宋体" w:cs="仿宋_GB2312"/>
                <w:szCs w:val="28"/>
              </w:rPr>
            </w:pPr>
          </w:p>
        </w:tc>
        <w:tc>
          <w:tcPr>
            <w:tcW w:w="2221" w:type="dxa"/>
            <w:vAlign w:val="center"/>
          </w:tcPr>
          <w:p>
            <w:pPr>
              <w:pStyle w:val="22"/>
              <w:jc w:val="center"/>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1418" w:type="dxa"/>
            <w:vAlign w:val="center"/>
          </w:tcPr>
          <w:p>
            <w:pPr>
              <w:pStyle w:val="22"/>
              <w:jc w:val="center"/>
              <w:rPr>
                <w:rFonts w:ascii="宋体" w:hAnsi="宋体" w:cs="仿宋_GB2312"/>
                <w:szCs w:val="28"/>
              </w:rPr>
            </w:pPr>
          </w:p>
        </w:tc>
        <w:tc>
          <w:tcPr>
            <w:tcW w:w="1877"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135" w:type="dxa"/>
            <w:vAlign w:val="center"/>
          </w:tcPr>
          <w:p>
            <w:pPr>
              <w:pStyle w:val="22"/>
              <w:ind w:left="420"/>
              <w:rPr>
                <w:rFonts w:ascii="宋体" w:hAnsi="宋体" w:cs="仿宋_GB2312"/>
                <w:szCs w:val="28"/>
              </w:rPr>
            </w:pPr>
          </w:p>
        </w:tc>
        <w:tc>
          <w:tcPr>
            <w:tcW w:w="2221" w:type="dxa"/>
            <w:vAlign w:val="center"/>
          </w:tcPr>
          <w:p>
            <w:pPr>
              <w:pStyle w:val="22"/>
              <w:jc w:val="center"/>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1418" w:type="dxa"/>
            <w:vAlign w:val="center"/>
          </w:tcPr>
          <w:p>
            <w:pPr>
              <w:pStyle w:val="22"/>
              <w:jc w:val="center"/>
              <w:rPr>
                <w:rFonts w:ascii="宋体" w:hAnsi="宋体" w:cs="仿宋_GB2312"/>
                <w:szCs w:val="28"/>
              </w:rPr>
            </w:pPr>
          </w:p>
        </w:tc>
        <w:tc>
          <w:tcPr>
            <w:tcW w:w="1877"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135" w:type="dxa"/>
            <w:vAlign w:val="center"/>
          </w:tcPr>
          <w:p>
            <w:pPr>
              <w:pStyle w:val="22"/>
              <w:ind w:left="420"/>
              <w:rPr>
                <w:rFonts w:ascii="宋体" w:hAnsi="宋体" w:cs="仿宋_GB2312"/>
                <w:szCs w:val="28"/>
              </w:rPr>
            </w:pPr>
          </w:p>
        </w:tc>
        <w:tc>
          <w:tcPr>
            <w:tcW w:w="2221" w:type="dxa"/>
            <w:vAlign w:val="center"/>
          </w:tcPr>
          <w:p>
            <w:pPr>
              <w:pStyle w:val="22"/>
              <w:jc w:val="center"/>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1418" w:type="dxa"/>
            <w:vAlign w:val="center"/>
          </w:tcPr>
          <w:p>
            <w:pPr>
              <w:pStyle w:val="22"/>
              <w:jc w:val="center"/>
              <w:rPr>
                <w:rFonts w:ascii="宋体" w:hAnsi="宋体" w:cs="仿宋_GB2312"/>
                <w:szCs w:val="28"/>
              </w:rPr>
            </w:pPr>
          </w:p>
        </w:tc>
        <w:tc>
          <w:tcPr>
            <w:tcW w:w="1877"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135" w:type="dxa"/>
            <w:vAlign w:val="center"/>
          </w:tcPr>
          <w:p>
            <w:pPr>
              <w:pStyle w:val="22"/>
              <w:ind w:left="420"/>
              <w:rPr>
                <w:rFonts w:ascii="宋体" w:hAnsi="宋体" w:cs="仿宋_GB2312"/>
                <w:szCs w:val="28"/>
              </w:rPr>
            </w:pPr>
          </w:p>
        </w:tc>
        <w:tc>
          <w:tcPr>
            <w:tcW w:w="2221" w:type="dxa"/>
            <w:vAlign w:val="center"/>
          </w:tcPr>
          <w:p>
            <w:pPr>
              <w:pStyle w:val="22"/>
              <w:jc w:val="center"/>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1418" w:type="dxa"/>
            <w:vAlign w:val="center"/>
          </w:tcPr>
          <w:p>
            <w:pPr>
              <w:pStyle w:val="22"/>
              <w:jc w:val="center"/>
              <w:rPr>
                <w:rFonts w:ascii="宋体" w:hAnsi="宋体" w:cs="仿宋_GB2312"/>
                <w:szCs w:val="28"/>
              </w:rPr>
            </w:pPr>
          </w:p>
        </w:tc>
        <w:tc>
          <w:tcPr>
            <w:tcW w:w="1877"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135" w:type="dxa"/>
            <w:vAlign w:val="center"/>
          </w:tcPr>
          <w:p>
            <w:pPr>
              <w:pStyle w:val="22"/>
              <w:ind w:left="420"/>
              <w:rPr>
                <w:rFonts w:ascii="宋体" w:hAnsi="宋体" w:cs="仿宋_GB2312"/>
                <w:szCs w:val="28"/>
              </w:rPr>
            </w:pPr>
          </w:p>
        </w:tc>
        <w:tc>
          <w:tcPr>
            <w:tcW w:w="2221" w:type="dxa"/>
            <w:vAlign w:val="center"/>
          </w:tcPr>
          <w:p>
            <w:pPr>
              <w:pStyle w:val="22"/>
              <w:jc w:val="center"/>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1418" w:type="dxa"/>
            <w:vAlign w:val="center"/>
          </w:tcPr>
          <w:p>
            <w:pPr>
              <w:pStyle w:val="22"/>
              <w:jc w:val="center"/>
              <w:rPr>
                <w:rFonts w:ascii="宋体" w:hAnsi="宋体" w:cs="仿宋_GB2312"/>
                <w:szCs w:val="28"/>
              </w:rPr>
            </w:pPr>
          </w:p>
        </w:tc>
        <w:tc>
          <w:tcPr>
            <w:tcW w:w="1877"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135" w:type="dxa"/>
            <w:vAlign w:val="center"/>
          </w:tcPr>
          <w:p>
            <w:pPr>
              <w:pStyle w:val="22"/>
              <w:jc w:val="center"/>
              <w:rPr>
                <w:rFonts w:ascii="宋体" w:hAnsi="宋体" w:cs="仿宋_GB2312"/>
                <w:szCs w:val="28"/>
              </w:rPr>
            </w:pPr>
            <w:r>
              <w:rPr>
                <w:rFonts w:hint="eastAsia" w:ascii="宋体" w:hAnsi="宋体" w:cs="仿宋_GB2312"/>
                <w:szCs w:val="28"/>
              </w:rPr>
              <w:t>…</w:t>
            </w:r>
          </w:p>
        </w:tc>
        <w:tc>
          <w:tcPr>
            <w:tcW w:w="2221" w:type="dxa"/>
            <w:vAlign w:val="center"/>
          </w:tcPr>
          <w:p>
            <w:pPr>
              <w:pStyle w:val="22"/>
              <w:jc w:val="center"/>
              <w:rPr>
                <w:rFonts w:ascii="宋体" w:hAnsi="宋体" w:cs="仿宋_GB2312"/>
                <w:szCs w:val="28"/>
              </w:rPr>
            </w:pPr>
          </w:p>
        </w:tc>
        <w:tc>
          <w:tcPr>
            <w:tcW w:w="2422" w:type="dxa"/>
            <w:vAlign w:val="center"/>
          </w:tcPr>
          <w:p>
            <w:pPr>
              <w:pStyle w:val="22"/>
              <w:jc w:val="center"/>
              <w:rPr>
                <w:rFonts w:ascii="宋体" w:hAnsi="宋体" w:cs="仿宋_GB2312"/>
                <w:szCs w:val="28"/>
              </w:rPr>
            </w:pPr>
          </w:p>
        </w:tc>
        <w:tc>
          <w:tcPr>
            <w:tcW w:w="1418" w:type="dxa"/>
            <w:vAlign w:val="center"/>
          </w:tcPr>
          <w:p>
            <w:pPr>
              <w:pStyle w:val="22"/>
              <w:jc w:val="center"/>
              <w:rPr>
                <w:rFonts w:ascii="宋体" w:hAnsi="宋体" w:cs="仿宋_GB2312"/>
                <w:szCs w:val="28"/>
              </w:rPr>
            </w:pPr>
          </w:p>
        </w:tc>
        <w:tc>
          <w:tcPr>
            <w:tcW w:w="1877" w:type="dxa"/>
            <w:vAlign w:val="center"/>
          </w:tcPr>
          <w:p>
            <w:pPr>
              <w:pStyle w:val="22"/>
              <w:jc w:val="center"/>
              <w:rPr>
                <w:rFonts w:ascii="宋体" w:hAnsi="宋体" w:cs="仿宋_GB2312"/>
                <w:szCs w:val="28"/>
              </w:rPr>
            </w:pPr>
          </w:p>
        </w:tc>
      </w:tr>
    </w:tbl>
    <w:p>
      <w:pPr>
        <w:pStyle w:val="22"/>
        <w:adjustRightInd w:val="0"/>
        <w:snapToGrid w:val="0"/>
        <w:spacing w:line="360" w:lineRule="auto"/>
        <w:ind w:left="840" w:hanging="840" w:hangingChars="300"/>
        <w:rPr>
          <w:rFonts w:ascii="宋体" w:hAnsi="宋体" w:cs="Corbel"/>
          <w:szCs w:val="28"/>
        </w:rPr>
      </w:pPr>
      <w:r>
        <w:rPr>
          <w:rFonts w:hint="eastAsia" w:ascii="宋体" w:hAnsi="宋体" w:cs="Corbel"/>
          <w:szCs w:val="28"/>
        </w:rPr>
        <w:t>注：</w:t>
      </w:r>
      <w:r>
        <w:rPr>
          <w:rFonts w:ascii="宋体" w:hAnsi="宋体" w:cs="Corbel"/>
          <w:szCs w:val="28"/>
        </w:rPr>
        <w:t>1.投标人须对照招标文件第</w:t>
      </w:r>
      <w:r>
        <w:rPr>
          <w:rFonts w:hint="eastAsia" w:ascii="宋体" w:hAnsi="宋体" w:cs="Corbel"/>
          <w:szCs w:val="28"/>
        </w:rPr>
        <w:t>三</w:t>
      </w:r>
      <w:r>
        <w:rPr>
          <w:rFonts w:ascii="宋体" w:hAnsi="宋体" w:cs="Corbel"/>
          <w:szCs w:val="28"/>
        </w:rPr>
        <w:t>章“资格审查及评标方法”中“符合性审查”的条款逐项说明是否满足要求，如有偏离,投标人必须详细说明。</w:t>
      </w:r>
    </w:p>
    <w:p>
      <w:pPr>
        <w:pStyle w:val="22"/>
        <w:adjustRightInd w:val="0"/>
        <w:snapToGrid w:val="0"/>
        <w:spacing w:line="300" w:lineRule="auto"/>
        <w:ind w:firstLine="560" w:firstLineChars="200"/>
        <w:rPr>
          <w:rFonts w:ascii="宋体" w:hAnsi="宋体" w:cs="Corbel"/>
          <w:szCs w:val="28"/>
        </w:rPr>
      </w:pPr>
      <w:r>
        <w:rPr>
          <w:rFonts w:ascii="宋体" w:hAnsi="宋体" w:cs="Corbel"/>
          <w:szCs w:val="28"/>
        </w:rPr>
        <w:t>2.投标人须提供投标内容响应资料在投标文件中的具体页码。</w:t>
      </w:r>
    </w:p>
    <w:p>
      <w:pPr>
        <w:pStyle w:val="22"/>
        <w:adjustRightInd w:val="0"/>
        <w:snapToGrid w:val="0"/>
        <w:spacing w:line="300" w:lineRule="auto"/>
        <w:ind w:firstLine="560" w:firstLineChars="200"/>
        <w:jc w:val="center"/>
        <w:rPr>
          <w:rFonts w:ascii="宋体" w:hAnsi="宋体"/>
        </w:rPr>
      </w:pPr>
      <w:r>
        <w:rPr>
          <w:rFonts w:ascii="宋体" w:hAnsi="宋体" w:cs="Corbel"/>
          <w:szCs w:val="28"/>
        </w:rPr>
        <w:br w:type="page"/>
      </w:r>
      <w:bookmarkStart w:id="146" w:name="_Toc5974938"/>
      <w:bookmarkStart w:id="147" w:name="_Toc519362015"/>
      <w:r>
        <w:rPr>
          <w:rFonts w:hint="eastAsia" w:ascii="宋体" w:hAnsi="宋体"/>
          <w:b/>
          <w:bCs/>
        </w:rPr>
        <w:t>商务评议对照表</w:t>
      </w:r>
      <w:bookmarkEnd w:id="146"/>
      <w:bookmarkEnd w:id="147"/>
    </w:p>
    <w:p>
      <w:pPr>
        <w:pStyle w:val="22"/>
        <w:adjustRightInd w:val="0"/>
        <w:snapToGrid w:val="0"/>
        <w:spacing w:line="500" w:lineRule="exact"/>
        <w:rPr>
          <w:rFonts w:ascii="宋体" w:hAnsi="宋体"/>
          <w:szCs w:val="28"/>
        </w:rPr>
      </w:pPr>
      <w:r>
        <w:rPr>
          <w:rFonts w:hint="eastAsia" w:ascii="宋体" w:hAnsi="宋体"/>
          <w:szCs w:val="28"/>
        </w:rPr>
        <w:t>采购项目编号：</w:t>
      </w:r>
      <w:r>
        <w:rPr>
          <w:rFonts w:ascii="宋体" w:hAnsi="宋体"/>
          <w:szCs w:val="28"/>
          <w:u w:val="single"/>
        </w:rPr>
        <w:t xml:space="preserve">                              </w:t>
      </w:r>
      <w:r>
        <w:rPr>
          <w:rFonts w:ascii="宋体" w:hAnsi="宋体"/>
          <w:szCs w:val="28"/>
        </w:rPr>
        <w:t xml:space="preserve">     </w:t>
      </w:r>
    </w:p>
    <w:p>
      <w:pPr>
        <w:pStyle w:val="22"/>
        <w:adjustRightInd w:val="0"/>
        <w:snapToGrid w:val="0"/>
        <w:spacing w:line="500" w:lineRule="exact"/>
        <w:rPr>
          <w:rFonts w:ascii="宋体" w:hAnsi="宋体"/>
          <w:szCs w:val="28"/>
          <w:u w:val="single"/>
        </w:rPr>
      </w:pPr>
      <w:r>
        <w:rPr>
          <w:rFonts w:hint="eastAsia" w:ascii="宋体" w:hAnsi="宋体"/>
          <w:szCs w:val="28"/>
        </w:rPr>
        <w:t>采购项目名称：</w:t>
      </w:r>
      <w:r>
        <w:rPr>
          <w:rFonts w:ascii="宋体" w:hAnsi="宋体"/>
          <w:szCs w:val="28"/>
          <w:u w:val="single"/>
        </w:rPr>
        <w:t xml:space="preserve">                              </w:t>
      </w:r>
    </w:p>
    <w:p>
      <w:pPr>
        <w:pStyle w:val="22"/>
        <w:ind w:firstLine="560" w:firstLineChars="200"/>
        <w:rPr>
          <w:rFonts w:ascii="宋体" w:hAnsi="宋体"/>
          <w:szCs w:val="28"/>
        </w:rPr>
      </w:pPr>
    </w:p>
    <w:tbl>
      <w:tblPr>
        <w:tblStyle w:val="13"/>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9"/>
        <w:gridCol w:w="2495"/>
        <w:gridCol w:w="2596"/>
        <w:gridCol w:w="156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579" w:type="dxa"/>
            <w:shd w:val="pct10" w:color="auto" w:fill="auto"/>
            <w:vAlign w:val="center"/>
          </w:tcPr>
          <w:p>
            <w:pPr>
              <w:pStyle w:val="22"/>
              <w:jc w:val="center"/>
              <w:rPr>
                <w:rFonts w:ascii="宋体" w:hAnsi="宋体"/>
                <w:szCs w:val="28"/>
              </w:rPr>
            </w:pPr>
            <w:r>
              <w:rPr>
                <w:rFonts w:hint="eastAsia" w:ascii="宋体" w:hAnsi="宋体"/>
                <w:szCs w:val="28"/>
              </w:rPr>
              <w:t>序号</w:t>
            </w:r>
          </w:p>
        </w:tc>
        <w:tc>
          <w:tcPr>
            <w:tcW w:w="2495" w:type="dxa"/>
            <w:shd w:val="pct10" w:color="auto" w:fill="auto"/>
            <w:vAlign w:val="center"/>
          </w:tcPr>
          <w:p>
            <w:pPr>
              <w:pStyle w:val="22"/>
              <w:jc w:val="center"/>
              <w:rPr>
                <w:rFonts w:ascii="宋体" w:hAnsi="宋体"/>
                <w:szCs w:val="28"/>
              </w:rPr>
            </w:pPr>
            <w:r>
              <w:rPr>
                <w:rFonts w:hint="eastAsia" w:ascii="宋体" w:hAnsi="宋体"/>
                <w:szCs w:val="28"/>
              </w:rPr>
              <w:t>招标文件</w:t>
            </w:r>
          </w:p>
          <w:p>
            <w:pPr>
              <w:pStyle w:val="22"/>
              <w:jc w:val="center"/>
              <w:rPr>
                <w:rFonts w:ascii="宋体" w:hAnsi="宋体"/>
                <w:szCs w:val="28"/>
              </w:rPr>
            </w:pPr>
            <w:r>
              <w:rPr>
                <w:rFonts w:hint="eastAsia" w:ascii="宋体" w:hAnsi="宋体"/>
                <w:szCs w:val="28"/>
              </w:rPr>
              <w:t>商务评分标准</w:t>
            </w:r>
          </w:p>
        </w:tc>
        <w:tc>
          <w:tcPr>
            <w:tcW w:w="2596" w:type="dxa"/>
            <w:shd w:val="pct10" w:color="auto" w:fill="auto"/>
            <w:vAlign w:val="center"/>
          </w:tcPr>
          <w:p>
            <w:pPr>
              <w:pStyle w:val="22"/>
              <w:jc w:val="center"/>
              <w:rPr>
                <w:rFonts w:ascii="宋体" w:hAnsi="宋体"/>
                <w:szCs w:val="28"/>
              </w:rPr>
            </w:pPr>
            <w:r>
              <w:rPr>
                <w:rFonts w:hint="eastAsia" w:ascii="宋体" w:hAnsi="宋体"/>
                <w:szCs w:val="28"/>
              </w:rPr>
              <w:t>投标文件对应部分</w:t>
            </w:r>
          </w:p>
        </w:tc>
        <w:tc>
          <w:tcPr>
            <w:tcW w:w="1560" w:type="dxa"/>
            <w:shd w:val="pct10" w:color="auto" w:fill="auto"/>
            <w:vAlign w:val="center"/>
          </w:tcPr>
          <w:p>
            <w:pPr>
              <w:pStyle w:val="22"/>
              <w:jc w:val="center"/>
              <w:rPr>
                <w:rFonts w:ascii="宋体" w:hAnsi="宋体"/>
                <w:szCs w:val="28"/>
              </w:rPr>
            </w:pPr>
            <w:r>
              <w:rPr>
                <w:rFonts w:hint="eastAsia" w:ascii="宋体" w:hAnsi="宋体"/>
                <w:szCs w:val="28"/>
              </w:rPr>
              <w:t>偏离说明</w:t>
            </w:r>
          </w:p>
        </w:tc>
        <w:tc>
          <w:tcPr>
            <w:tcW w:w="1701" w:type="dxa"/>
            <w:shd w:val="pct10" w:color="auto" w:fill="auto"/>
          </w:tcPr>
          <w:p>
            <w:pPr>
              <w:pStyle w:val="22"/>
              <w:jc w:val="center"/>
              <w:rPr>
                <w:rFonts w:ascii="宋体" w:hAnsi="宋体"/>
                <w:szCs w:val="28"/>
              </w:rPr>
            </w:pPr>
            <w:r>
              <w:rPr>
                <w:rFonts w:hint="eastAsia" w:ascii="宋体" w:hAnsi="宋体"/>
                <w:szCs w:val="28"/>
              </w:rPr>
              <w:t>投标文件中对应的页码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79" w:type="dxa"/>
            <w:vAlign w:val="center"/>
          </w:tcPr>
          <w:p>
            <w:pPr>
              <w:pStyle w:val="22"/>
              <w:numPr>
                <w:ilvl w:val="0"/>
                <w:numId w:val="24"/>
              </w:numPr>
              <w:jc w:val="center"/>
              <w:rPr>
                <w:rFonts w:ascii="宋体" w:hAnsi="宋体" w:cs="仿宋_GB2312"/>
                <w:szCs w:val="28"/>
              </w:rPr>
            </w:pPr>
          </w:p>
        </w:tc>
        <w:tc>
          <w:tcPr>
            <w:tcW w:w="2495" w:type="dxa"/>
            <w:vAlign w:val="center"/>
          </w:tcPr>
          <w:p>
            <w:pPr>
              <w:pStyle w:val="22"/>
              <w:jc w:val="center"/>
              <w:rPr>
                <w:rFonts w:ascii="宋体" w:hAnsi="宋体" w:cs="仿宋_GB2312"/>
                <w:szCs w:val="28"/>
              </w:rPr>
            </w:pPr>
          </w:p>
        </w:tc>
        <w:tc>
          <w:tcPr>
            <w:tcW w:w="2596" w:type="dxa"/>
            <w:vAlign w:val="center"/>
          </w:tcPr>
          <w:p>
            <w:pPr>
              <w:pStyle w:val="22"/>
              <w:jc w:val="center"/>
              <w:rPr>
                <w:rFonts w:ascii="宋体" w:hAnsi="宋体" w:cs="仿宋_GB2312"/>
                <w:szCs w:val="28"/>
              </w:rPr>
            </w:pPr>
          </w:p>
        </w:tc>
        <w:tc>
          <w:tcPr>
            <w:tcW w:w="1560" w:type="dxa"/>
            <w:vAlign w:val="center"/>
          </w:tcPr>
          <w:p>
            <w:pPr>
              <w:pStyle w:val="22"/>
              <w:jc w:val="center"/>
              <w:rPr>
                <w:rFonts w:ascii="宋体" w:hAnsi="宋体" w:cs="仿宋_GB2312"/>
                <w:szCs w:val="28"/>
              </w:rPr>
            </w:pPr>
          </w:p>
        </w:tc>
        <w:tc>
          <w:tcPr>
            <w:tcW w:w="1701"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79" w:type="dxa"/>
            <w:vAlign w:val="center"/>
          </w:tcPr>
          <w:p>
            <w:pPr>
              <w:pStyle w:val="22"/>
              <w:numPr>
                <w:ilvl w:val="0"/>
                <w:numId w:val="24"/>
              </w:numPr>
              <w:jc w:val="center"/>
              <w:rPr>
                <w:rFonts w:ascii="宋体" w:hAnsi="宋体" w:cs="仿宋_GB2312"/>
                <w:szCs w:val="28"/>
              </w:rPr>
            </w:pPr>
          </w:p>
        </w:tc>
        <w:tc>
          <w:tcPr>
            <w:tcW w:w="2495" w:type="dxa"/>
            <w:vAlign w:val="center"/>
          </w:tcPr>
          <w:p>
            <w:pPr>
              <w:pStyle w:val="22"/>
              <w:jc w:val="center"/>
              <w:rPr>
                <w:rFonts w:ascii="宋体" w:hAnsi="宋体" w:cs="仿宋_GB2312"/>
                <w:szCs w:val="28"/>
              </w:rPr>
            </w:pPr>
          </w:p>
        </w:tc>
        <w:tc>
          <w:tcPr>
            <w:tcW w:w="2596" w:type="dxa"/>
            <w:vAlign w:val="center"/>
          </w:tcPr>
          <w:p>
            <w:pPr>
              <w:pStyle w:val="22"/>
              <w:jc w:val="center"/>
              <w:rPr>
                <w:rFonts w:ascii="宋体" w:hAnsi="宋体" w:cs="仿宋_GB2312"/>
                <w:szCs w:val="28"/>
              </w:rPr>
            </w:pPr>
          </w:p>
        </w:tc>
        <w:tc>
          <w:tcPr>
            <w:tcW w:w="1560" w:type="dxa"/>
            <w:vAlign w:val="center"/>
          </w:tcPr>
          <w:p>
            <w:pPr>
              <w:pStyle w:val="22"/>
              <w:jc w:val="center"/>
              <w:rPr>
                <w:rFonts w:ascii="宋体" w:hAnsi="宋体" w:cs="仿宋_GB2312"/>
                <w:szCs w:val="28"/>
              </w:rPr>
            </w:pPr>
          </w:p>
        </w:tc>
        <w:tc>
          <w:tcPr>
            <w:tcW w:w="1701"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79" w:type="dxa"/>
            <w:vAlign w:val="center"/>
          </w:tcPr>
          <w:p>
            <w:pPr>
              <w:pStyle w:val="22"/>
              <w:numPr>
                <w:ilvl w:val="0"/>
                <w:numId w:val="24"/>
              </w:numPr>
              <w:jc w:val="center"/>
              <w:rPr>
                <w:rFonts w:ascii="宋体" w:hAnsi="宋体" w:cs="仿宋_GB2312"/>
                <w:szCs w:val="28"/>
              </w:rPr>
            </w:pPr>
          </w:p>
        </w:tc>
        <w:tc>
          <w:tcPr>
            <w:tcW w:w="2495" w:type="dxa"/>
            <w:vAlign w:val="center"/>
          </w:tcPr>
          <w:p>
            <w:pPr>
              <w:pStyle w:val="22"/>
              <w:jc w:val="center"/>
              <w:rPr>
                <w:rFonts w:ascii="宋体" w:hAnsi="宋体" w:cs="仿宋_GB2312"/>
                <w:szCs w:val="28"/>
              </w:rPr>
            </w:pPr>
          </w:p>
        </w:tc>
        <w:tc>
          <w:tcPr>
            <w:tcW w:w="2596" w:type="dxa"/>
            <w:vAlign w:val="center"/>
          </w:tcPr>
          <w:p>
            <w:pPr>
              <w:pStyle w:val="22"/>
              <w:jc w:val="center"/>
              <w:rPr>
                <w:rFonts w:ascii="宋体" w:hAnsi="宋体" w:cs="仿宋_GB2312"/>
                <w:szCs w:val="28"/>
              </w:rPr>
            </w:pPr>
          </w:p>
        </w:tc>
        <w:tc>
          <w:tcPr>
            <w:tcW w:w="1560" w:type="dxa"/>
            <w:vAlign w:val="center"/>
          </w:tcPr>
          <w:p>
            <w:pPr>
              <w:pStyle w:val="22"/>
              <w:jc w:val="center"/>
              <w:rPr>
                <w:rFonts w:ascii="宋体" w:hAnsi="宋体" w:cs="仿宋_GB2312"/>
                <w:szCs w:val="28"/>
              </w:rPr>
            </w:pPr>
          </w:p>
        </w:tc>
        <w:tc>
          <w:tcPr>
            <w:tcW w:w="1701"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79" w:type="dxa"/>
            <w:vAlign w:val="center"/>
          </w:tcPr>
          <w:p>
            <w:pPr>
              <w:pStyle w:val="22"/>
              <w:numPr>
                <w:ilvl w:val="0"/>
                <w:numId w:val="24"/>
              </w:numPr>
              <w:jc w:val="center"/>
              <w:rPr>
                <w:rFonts w:ascii="宋体" w:hAnsi="宋体" w:cs="仿宋_GB2312"/>
                <w:szCs w:val="28"/>
              </w:rPr>
            </w:pPr>
          </w:p>
        </w:tc>
        <w:tc>
          <w:tcPr>
            <w:tcW w:w="2495" w:type="dxa"/>
            <w:vAlign w:val="center"/>
          </w:tcPr>
          <w:p>
            <w:pPr>
              <w:pStyle w:val="22"/>
              <w:jc w:val="center"/>
              <w:rPr>
                <w:rFonts w:ascii="宋体" w:hAnsi="宋体" w:cs="仿宋_GB2312"/>
                <w:szCs w:val="28"/>
              </w:rPr>
            </w:pPr>
          </w:p>
        </w:tc>
        <w:tc>
          <w:tcPr>
            <w:tcW w:w="2596" w:type="dxa"/>
            <w:vAlign w:val="center"/>
          </w:tcPr>
          <w:p>
            <w:pPr>
              <w:pStyle w:val="22"/>
              <w:jc w:val="center"/>
              <w:rPr>
                <w:rFonts w:ascii="宋体" w:hAnsi="宋体" w:cs="仿宋_GB2312"/>
                <w:szCs w:val="28"/>
              </w:rPr>
            </w:pPr>
          </w:p>
        </w:tc>
        <w:tc>
          <w:tcPr>
            <w:tcW w:w="1560" w:type="dxa"/>
            <w:vAlign w:val="center"/>
          </w:tcPr>
          <w:p>
            <w:pPr>
              <w:pStyle w:val="22"/>
              <w:jc w:val="center"/>
              <w:rPr>
                <w:rFonts w:ascii="宋体" w:hAnsi="宋体" w:cs="仿宋_GB2312"/>
                <w:szCs w:val="28"/>
              </w:rPr>
            </w:pPr>
          </w:p>
        </w:tc>
        <w:tc>
          <w:tcPr>
            <w:tcW w:w="1701"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79" w:type="dxa"/>
            <w:vAlign w:val="center"/>
          </w:tcPr>
          <w:p>
            <w:pPr>
              <w:pStyle w:val="22"/>
              <w:numPr>
                <w:ilvl w:val="0"/>
                <w:numId w:val="24"/>
              </w:numPr>
              <w:jc w:val="center"/>
              <w:rPr>
                <w:rFonts w:ascii="宋体" w:hAnsi="宋体" w:cs="仿宋_GB2312"/>
                <w:szCs w:val="28"/>
              </w:rPr>
            </w:pPr>
          </w:p>
        </w:tc>
        <w:tc>
          <w:tcPr>
            <w:tcW w:w="2495" w:type="dxa"/>
            <w:vAlign w:val="center"/>
          </w:tcPr>
          <w:p>
            <w:pPr>
              <w:pStyle w:val="22"/>
              <w:jc w:val="center"/>
              <w:rPr>
                <w:rFonts w:ascii="宋体" w:hAnsi="宋体" w:cs="仿宋_GB2312"/>
                <w:szCs w:val="28"/>
              </w:rPr>
            </w:pPr>
          </w:p>
        </w:tc>
        <w:tc>
          <w:tcPr>
            <w:tcW w:w="2596" w:type="dxa"/>
            <w:vAlign w:val="center"/>
          </w:tcPr>
          <w:p>
            <w:pPr>
              <w:pStyle w:val="22"/>
              <w:jc w:val="center"/>
              <w:rPr>
                <w:rFonts w:ascii="宋体" w:hAnsi="宋体" w:cs="仿宋_GB2312"/>
                <w:szCs w:val="28"/>
              </w:rPr>
            </w:pPr>
          </w:p>
        </w:tc>
        <w:tc>
          <w:tcPr>
            <w:tcW w:w="1560" w:type="dxa"/>
            <w:vAlign w:val="center"/>
          </w:tcPr>
          <w:p>
            <w:pPr>
              <w:pStyle w:val="22"/>
              <w:jc w:val="center"/>
              <w:rPr>
                <w:rFonts w:ascii="宋体" w:hAnsi="宋体" w:cs="仿宋_GB2312"/>
                <w:szCs w:val="28"/>
              </w:rPr>
            </w:pPr>
          </w:p>
        </w:tc>
        <w:tc>
          <w:tcPr>
            <w:tcW w:w="1701"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79" w:type="dxa"/>
            <w:vAlign w:val="center"/>
          </w:tcPr>
          <w:p>
            <w:pPr>
              <w:pStyle w:val="22"/>
              <w:numPr>
                <w:ilvl w:val="0"/>
                <w:numId w:val="24"/>
              </w:numPr>
              <w:jc w:val="center"/>
              <w:rPr>
                <w:rFonts w:ascii="宋体" w:hAnsi="宋体" w:cs="仿宋_GB2312"/>
                <w:szCs w:val="28"/>
              </w:rPr>
            </w:pPr>
          </w:p>
        </w:tc>
        <w:tc>
          <w:tcPr>
            <w:tcW w:w="2495" w:type="dxa"/>
            <w:vAlign w:val="center"/>
          </w:tcPr>
          <w:p>
            <w:pPr>
              <w:pStyle w:val="22"/>
              <w:jc w:val="center"/>
              <w:rPr>
                <w:rFonts w:ascii="宋体" w:hAnsi="宋体" w:cs="仿宋_GB2312"/>
                <w:szCs w:val="28"/>
              </w:rPr>
            </w:pPr>
          </w:p>
        </w:tc>
        <w:tc>
          <w:tcPr>
            <w:tcW w:w="2596" w:type="dxa"/>
            <w:vAlign w:val="center"/>
          </w:tcPr>
          <w:p>
            <w:pPr>
              <w:pStyle w:val="22"/>
              <w:jc w:val="center"/>
              <w:rPr>
                <w:rFonts w:ascii="宋体" w:hAnsi="宋体" w:cs="仿宋_GB2312"/>
                <w:szCs w:val="28"/>
              </w:rPr>
            </w:pPr>
          </w:p>
        </w:tc>
        <w:tc>
          <w:tcPr>
            <w:tcW w:w="1560" w:type="dxa"/>
            <w:vAlign w:val="center"/>
          </w:tcPr>
          <w:p>
            <w:pPr>
              <w:pStyle w:val="22"/>
              <w:jc w:val="center"/>
              <w:rPr>
                <w:rFonts w:ascii="宋体" w:hAnsi="宋体" w:cs="仿宋_GB2312"/>
                <w:szCs w:val="28"/>
              </w:rPr>
            </w:pPr>
          </w:p>
        </w:tc>
        <w:tc>
          <w:tcPr>
            <w:tcW w:w="1701" w:type="dxa"/>
            <w:vAlign w:val="center"/>
          </w:tcPr>
          <w:p>
            <w:pPr>
              <w:pStyle w:val="22"/>
              <w:jc w:val="center"/>
              <w:rPr>
                <w:rFonts w:ascii="宋体" w:hAnsi="宋体" w:cs="仿宋_GB2312"/>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79" w:type="dxa"/>
            <w:vAlign w:val="center"/>
          </w:tcPr>
          <w:p>
            <w:pPr>
              <w:pStyle w:val="22"/>
              <w:jc w:val="center"/>
              <w:rPr>
                <w:rFonts w:ascii="宋体" w:hAnsi="宋体" w:cs="仿宋_GB2312"/>
                <w:szCs w:val="28"/>
              </w:rPr>
            </w:pPr>
            <w:r>
              <w:rPr>
                <w:rFonts w:hint="eastAsia" w:ascii="宋体" w:hAnsi="宋体" w:cs="仿宋_GB2312"/>
                <w:szCs w:val="28"/>
              </w:rPr>
              <w:t>…</w:t>
            </w:r>
          </w:p>
        </w:tc>
        <w:tc>
          <w:tcPr>
            <w:tcW w:w="2495" w:type="dxa"/>
            <w:vAlign w:val="center"/>
          </w:tcPr>
          <w:p>
            <w:pPr>
              <w:pStyle w:val="22"/>
              <w:jc w:val="center"/>
              <w:rPr>
                <w:rFonts w:ascii="宋体" w:hAnsi="宋体" w:cs="仿宋_GB2312"/>
                <w:szCs w:val="28"/>
              </w:rPr>
            </w:pPr>
          </w:p>
        </w:tc>
        <w:tc>
          <w:tcPr>
            <w:tcW w:w="2596" w:type="dxa"/>
            <w:vAlign w:val="center"/>
          </w:tcPr>
          <w:p>
            <w:pPr>
              <w:pStyle w:val="22"/>
              <w:jc w:val="center"/>
              <w:rPr>
                <w:rFonts w:ascii="宋体" w:hAnsi="宋体" w:cs="仿宋_GB2312"/>
                <w:szCs w:val="28"/>
              </w:rPr>
            </w:pPr>
          </w:p>
        </w:tc>
        <w:tc>
          <w:tcPr>
            <w:tcW w:w="1560" w:type="dxa"/>
            <w:vAlign w:val="center"/>
          </w:tcPr>
          <w:p>
            <w:pPr>
              <w:pStyle w:val="22"/>
              <w:jc w:val="center"/>
              <w:rPr>
                <w:rFonts w:ascii="宋体" w:hAnsi="宋体" w:cs="仿宋_GB2312"/>
                <w:szCs w:val="28"/>
              </w:rPr>
            </w:pPr>
          </w:p>
        </w:tc>
        <w:tc>
          <w:tcPr>
            <w:tcW w:w="1701" w:type="dxa"/>
            <w:vAlign w:val="center"/>
          </w:tcPr>
          <w:p>
            <w:pPr>
              <w:pStyle w:val="22"/>
              <w:jc w:val="center"/>
              <w:rPr>
                <w:rFonts w:ascii="宋体" w:hAnsi="宋体" w:cs="仿宋_GB2312"/>
                <w:szCs w:val="28"/>
              </w:rPr>
            </w:pPr>
          </w:p>
        </w:tc>
      </w:tr>
    </w:tbl>
    <w:p>
      <w:pPr>
        <w:pStyle w:val="22"/>
        <w:adjustRightInd w:val="0"/>
        <w:snapToGrid w:val="0"/>
        <w:spacing w:line="360" w:lineRule="auto"/>
        <w:ind w:left="562" w:hanging="562" w:hangingChars="200"/>
        <w:jc w:val="center"/>
        <w:rPr>
          <w:rFonts w:ascii="宋体" w:hAnsi="宋体"/>
        </w:rPr>
      </w:pPr>
      <w:r>
        <w:rPr>
          <w:rFonts w:hint="eastAsia" w:ascii="宋体" w:hAnsi="宋体" w:cs="Corbel"/>
          <w:b/>
          <w:szCs w:val="28"/>
        </w:rPr>
        <w:t>注：</w:t>
      </w:r>
      <w:r>
        <w:rPr>
          <w:rFonts w:hint="eastAsia" w:ascii="宋体" w:hAnsi="宋体" w:cs="Corbel"/>
          <w:szCs w:val="28"/>
        </w:rPr>
        <w:t>投标人须按商务评议评分标准内容所列条目，逐条注明证明文件的具体页码，若有其他情况则在备注中说明。</w:t>
      </w:r>
      <w:r>
        <w:rPr>
          <w:rFonts w:ascii="宋体" w:hAnsi="宋体"/>
        </w:rPr>
        <w:br w:type="page"/>
      </w:r>
      <w:bookmarkStart w:id="148" w:name="_Toc519362016"/>
      <w:bookmarkStart w:id="149" w:name="_Toc5974939"/>
      <w:r>
        <w:rPr>
          <w:rFonts w:hint="eastAsia" w:ascii="宋体" w:hAnsi="宋体"/>
          <w:b/>
          <w:bCs/>
        </w:rPr>
        <w:t>技术评议对照表</w:t>
      </w:r>
      <w:bookmarkEnd w:id="148"/>
      <w:bookmarkEnd w:id="149"/>
    </w:p>
    <w:p>
      <w:pPr>
        <w:pStyle w:val="22"/>
        <w:adjustRightInd w:val="0"/>
        <w:snapToGrid w:val="0"/>
        <w:spacing w:line="500" w:lineRule="exact"/>
        <w:rPr>
          <w:rFonts w:ascii="宋体" w:hAnsi="宋体"/>
          <w:szCs w:val="28"/>
        </w:rPr>
      </w:pPr>
      <w:r>
        <w:rPr>
          <w:rFonts w:hint="eastAsia" w:ascii="宋体" w:hAnsi="宋体"/>
          <w:szCs w:val="28"/>
        </w:rPr>
        <w:t>采购项目编号：</w:t>
      </w:r>
      <w:r>
        <w:rPr>
          <w:rFonts w:ascii="宋体" w:hAnsi="宋体"/>
          <w:szCs w:val="28"/>
          <w:u w:val="single"/>
        </w:rPr>
        <w:t xml:space="preserve">                              </w:t>
      </w:r>
      <w:r>
        <w:rPr>
          <w:rFonts w:ascii="宋体" w:hAnsi="宋体"/>
          <w:szCs w:val="28"/>
        </w:rPr>
        <w:t xml:space="preserve">     </w:t>
      </w:r>
    </w:p>
    <w:p>
      <w:pPr>
        <w:pStyle w:val="22"/>
        <w:adjustRightInd w:val="0"/>
        <w:snapToGrid w:val="0"/>
        <w:spacing w:line="500" w:lineRule="exact"/>
        <w:rPr>
          <w:rFonts w:ascii="宋体" w:hAnsi="宋体"/>
          <w:szCs w:val="28"/>
          <w:u w:val="single"/>
        </w:rPr>
      </w:pPr>
      <w:r>
        <w:rPr>
          <w:rFonts w:hint="eastAsia" w:ascii="宋体" w:hAnsi="宋体"/>
          <w:szCs w:val="28"/>
        </w:rPr>
        <w:t>采购项目名称：</w:t>
      </w:r>
      <w:r>
        <w:rPr>
          <w:rFonts w:ascii="宋体" w:hAnsi="宋体"/>
          <w:szCs w:val="28"/>
          <w:u w:val="single"/>
        </w:rPr>
        <w:t xml:space="preserve">                              </w:t>
      </w:r>
    </w:p>
    <w:tbl>
      <w:tblPr>
        <w:tblStyle w:val="13"/>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2494"/>
        <w:gridCol w:w="2598"/>
        <w:gridCol w:w="1702"/>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578" w:type="dxa"/>
            <w:shd w:val="pct10" w:color="auto" w:fill="auto"/>
            <w:vAlign w:val="center"/>
          </w:tcPr>
          <w:p>
            <w:pPr>
              <w:pStyle w:val="22"/>
              <w:jc w:val="center"/>
              <w:rPr>
                <w:rFonts w:ascii="宋体" w:hAnsi="宋体"/>
                <w:szCs w:val="28"/>
              </w:rPr>
            </w:pPr>
            <w:r>
              <w:rPr>
                <w:rFonts w:hint="eastAsia" w:ascii="宋体" w:hAnsi="宋体"/>
                <w:szCs w:val="28"/>
              </w:rPr>
              <w:t>序号</w:t>
            </w:r>
          </w:p>
        </w:tc>
        <w:tc>
          <w:tcPr>
            <w:tcW w:w="2494" w:type="dxa"/>
            <w:shd w:val="pct10" w:color="auto" w:fill="auto"/>
            <w:vAlign w:val="center"/>
          </w:tcPr>
          <w:p>
            <w:pPr>
              <w:pStyle w:val="22"/>
              <w:jc w:val="center"/>
              <w:rPr>
                <w:rFonts w:ascii="宋体" w:hAnsi="宋体"/>
                <w:szCs w:val="28"/>
              </w:rPr>
            </w:pPr>
            <w:r>
              <w:rPr>
                <w:rFonts w:hint="eastAsia" w:ascii="宋体" w:hAnsi="宋体"/>
                <w:szCs w:val="28"/>
              </w:rPr>
              <w:t>招标文件</w:t>
            </w:r>
          </w:p>
          <w:p>
            <w:pPr>
              <w:pStyle w:val="22"/>
              <w:jc w:val="center"/>
              <w:rPr>
                <w:rFonts w:ascii="宋体" w:hAnsi="宋体"/>
                <w:szCs w:val="28"/>
              </w:rPr>
            </w:pPr>
            <w:r>
              <w:rPr>
                <w:rFonts w:hint="eastAsia" w:ascii="宋体" w:hAnsi="宋体"/>
                <w:szCs w:val="28"/>
              </w:rPr>
              <w:t>技术评分标准</w:t>
            </w:r>
          </w:p>
        </w:tc>
        <w:tc>
          <w:tcPr>
            <w:tcW w:w="2598" w:type="dxa"/>
            <w:shd w:val="pct10" w:color="auto" w:fill="auto"/>
            <w:vAlign w:val="center"/>
          </w:tcPr>
          <w:p>
            <w:pPr>
              <w:pStyle w:val="22"/>
              <w:jc w:val="center"/>
              <w:rPr>
                <w:rFonts w:ascii="宋体" w:hAnsi="宋体"/>
                <w:szCs w:val="28"/>
              </w:rPr>
            </w:pPr>
            <w:r>
              <w:rPr>
                <w:rFonts w:hint="eastAsia" w:ascii="宋体" w:hAnsi="宋体"/>
                <w:szCs w:val="28"/>
              </w:rPr>
              <w:t>投标文件对应部分</w:t>
            </w:r>
          </w:p>
        </w:tc>
        <w:tc>
          <w:tcPr>
            <w:tcW w:w="1702" w:type="dxa"/>
            <w:shd w:val="pct10" w:color="auto" w:fill="auto"/>
            <w:vAlign w:val="center"/>
          </w:tcPr>
          <w:p>
            <w:pPr>
              <w:pStyle w:val="22"/>
              <w:jc w:val="center"/>
              <w:rPr>
                <w:rFonts w:ascii="宋体" w:hAnsi="宋体"/>
                <w:szCs w:val="28"/>
              </w:rPr>
            </w:pPr>
            <w:r>
              <w:rPr>
                <w:rFonts w:hint="eastAsia" w:ascii="宋体" w:hAnsi="宋体"/>
                <w:szCs w:val="28"/>
              </w:rPr>
              <w:t>偏离说明</w:t>
            </w:r>
          </w:p>
        </w:tc>
        <w:tc>
          <w:tcPr>
            <w:tcW w:w="1842" w:type="dxa"/>
            <w:shd w:val="pct10" w:color="auto" w:fill="auto"/>
          </w:tcPr>
          <w:p>
            <w:pPr>
              <w:pStyle w:val="22"/>
              <w:jc w:val="center"/>
              <w:rPr>
                <w:rFonts w:ascii="宋体" w:hAnsi="宋体"/>
                <w:szCs w:val="28"/>
              </w:rPr>
            </w:pPr>
            <w:r>
              <w:rPr>
                <w:rFonts w:hint="eastAsia" w:ascii="宋体" w:hAnsi="宋体"/>
                <w:szCs w:val="28"/>
              </w:rPr>
              <w:t>投标文件中对应的页码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78" w:type="dxa"/>
            <w:vAlign w:val="center"/>
          </w:tcPr>
          <w:p>
            <w:pPr>
              <w:pStyle w:val="22"/>
              <w:rPr>
                <w:rFonts w:ascii="宋体" w:hAnsi="宋体" w:cs="仿宋_GB2312"/>
                <w:sz w:val="24"/>
              </w:rPr>
            </w:pPr>
          </w:p>
        </w:tc>
        <w:tc>
          <w:tcPr>
            <w:tcW w:w="2494" w:type="dxa"/>
            <w:vAlign w:val="center"/>
          </w:tcPr>
          <w:p>
            <w:pPr>
              <w:pStyle w:val="22"/>
              <w:jc w:val="center"/>
              <w:rPr>
                <w:rFonts w:ascii="宋体" w:hAnsi="宋体" w:cs="仿宋_GB2312"/>
                <w:sz w:val="24"/>
              </w:rPr>
            </w:pPr>
          </w:p>
        </w:tc>
        <w:tc>
          <w:tcPr>
            <w:tcW w:w="2598" w:type="dxa"/>
            <w:vAlign w:val="center"/>
          </w:tcPr>
          <w:p>
            <w:pPr>
              <w:pStyle w:val="22"/>
              <w:jc w:val="center"/>
              <w:rPr>
                <w:rFonts w:ascii="宋体" w:hAnsi="宋体" w:cs="仿宋_GB2312"/>
                <w:sz w:val="24"/>
              </w:rPr>
            </w:pPr>
          </w:p>
        </w:tc>
        <w:tc>
          <w:tcPr>
            <w:tcW w:w="1702" w:type="dxa"/>
            <w:vAlign w:val="center"/>
          </w:tcPr>
          <w:p>
            <w:pPr>
              <w:pStyle w:val="22"/>
              <w:jc w:val="center"/>
              <w:rPr>
                <w:rFonts w:ascii="宋体" w:hAnsi="宋体" w:cs="仿宋_GB2312"/>
                <w:sz w:val="24"/>
              </w:rPr>
            </w:pPr>
          </w:p>
        </w:tc>
        <w:tc>
          <w:tcPr>
            <w:tcW w:w="1842" w:type="dxa"/>
            <w:vAlign w:val="center"/>
          </w:tcPr>
          <w:p>
            <w:pPr>
              <w:pStyle w:val="22"/>
              <w:jc w:val="center"/>
              <w:rPr>
                <w:rFonts w:ascii="宋体" w:hAnsi="宋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78" w:type="dxa"/>
            <w:vAlign w:val="center"/>
          </w:tcPr>
          <w:p>
            <w:pPr>
              <w:pStyle w:val="22"/>
              <w:rPr>
                <w:rFonts w:ascii="宋体" w:hAnsi="宋体" w:cs="仿宋_GB2312"/>
                <w:sz w:val="24"/>
              </w:rPr>
            </w:pPr>
          </w:p>
        </w:tc>
        <w:tc>
          <w:tcPr>
            <w:tcW w:w="2494" w:type="dxa"/>
            <w:vAlign w:val="center"/>
          </w:tcPr>
          <w:p>
            <w:pPr>
              <w:pStyle w:val="22"/>
              <w:jc w:val="center"/>
              <w:rPr>
                <w:rFonts w:ascii="宋体" w:hAnsi="宋体" w:cs="仿宋_GB2312"/>
                <w:sz w:val="24"/>
              </w:rPr>
            </w:pPr>
          </w:p>
        </w:tc>
        <w:tc>
          <w:tcPr>
            <w:tcW w:w="2598" w:type="dxa"/>
            <w:vAlign w:val="center"/>
          </w:tcPr>
          <w:p>
            <w:pPr>
              <w:pStyle w:val="22"/>
              <w:jc w:val="center"/>
              <w:rPr>
                <w:rFonts w:ascii="宋体" w:hAnsi="宋体" w:cs="仿宋_GB2312"/>
                <w:sz w:val="24"/>
              </w:rPr>
            </w:pPr>
          </w:p>
        </w:tc>
        <w:tc>
          <w:tcPr>
            <w:tcW w:w="1702" w:type="dxa"/>
            <w:vAlign w:val="center"/>
          </w:tcPr>
          <w:p>
            <w:pPr>
              <w:pStyle w:val="22"/>
              <w:jc w:val="center"/>
              <w:rPr>
                <w:rFonts w:ascii="宋体" w:hAnsi="宋体" w:cs="仿宋_GB2312"/>
                <w:sz w:val="24"/>
              </w:rPr>
            </w:pPr>
          </w:p>
        </w:tc>
        <w:tc>
          <w:tcPr>
            <w:tcW w:w="1842" w:type="dxa"/>
            <w:vAlign w:val="center"/>
          </w:tcPr>
          <w:p>
            <w:pPr>
              <w:pStyle w:val="22"/>
              <w:jc w:val="center"/>
              <w:rPr>
                <w:rFonts w:ascii="宋体" w:hAnsi="宋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78" w:type="dxa"/>
            <w:vAlign w:val="center"/>
          </w:tcPr>
          <w:p>
            <w:pPr>
              <w:pStyle w:val="22"/>
              <w:jc w:val="center"/>
              <w:rPr>
                <w:rFonts w:ascii="宋体" w:hAnsi="宋体" w:cs="仿宋_GB2312"/>
                <w:sz w:val="24"/>
              </w:rPr>
            </w:pPr>
          </w:p>
        </w:tc>
        <w:tc>
          <w:tcPr>
            <w:tcW w:w="2494" w:type="dxa"/>
            <w:vAlign w:val="center"/>
          </w:tcPr>
          <w:p>
            <w:pPr>
              <w:pStyle w:val="22"/>
              <w:jc w:val="center"/>
              <w:rPr>
                <w:rFonts w:ascii="宋体" w:hAnsi="宋体" w:cs="仿宋_GB2312"/>
                <w:sz w:val="24"/>
              </w:rPr>
            </w:pPr>
          </w:p>
        </w:tc>
        <w:tc>
          <w:tcPr>
            <w:tcW w:w="2598" w:type="dxa"/>
            <w:vAlign w:val="center"/>
          </w:tcPr>
          <w:p>
            <w:pPr>
              <w:pStyle w:val="22"/>
              <w:jc w:val="center"/>
              <w:rPr>
                <w:rFonts w:ascii="宋体" w:hAnsi="宋体" w:cs="仿宋_GB2312"/>
                <w:sz w:val="24"/>
              </w:rPr>
            </w:pPr>
          </w:p>
        </w:tc>
        <w:tc>
          <w:tcPr>
            <w:tcW w:w="1702" w:type="dxa"/>
            <w:vAlign w:val="center"/>
          </w:tcPr>
          <w:p>
            <w:pPr>
              <w:pStyle w:val="22"/>
              <w:jc w:val="center"/>
              <w:rPr>
                <w:rFonts w:ascii="宋体" w:hAnsi="宋体" w:cs="仿宋_GB2312"/>
                <w:sz w:val="24"/>
              </w:rPr>
            </w:pPr>
          </w:p>
        </w:tc>
        <w:tc>
          <w:tcPr>
            <w:tcW w:w="1842" w:type="dxa"/>
            <w:vAlign w:val="center"/>
          </w:tcPr>
          <w:p>
            <w:pPr>
              <w:pStyle w:val="22"/>
              <w:jc w:val="center"/>
              <w:rPr>
                <w:rFonts w:ascii="宋体" w:hAnsi="宋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78" w:type="dxa"/>
            <w:vAlign w:val="center"/>
          </w:tcPr>
          <w:p>
            <w:pPr>
              <w:pStyle w:val="22"/>
              <w:ind w:left="420"/>
              <w:rPr>
                <w:rFonts w:ascii="宋体" w:hAnsi="宋体" w:cs="仿宋_GB2312"/>
                <w:sz w:val="24"/>
              </w:rPr>
            </w:pPr>
          </w:p>
        </w:tc>
        <w:tc>
          <w:tcPr>
            <w:tcW w:w="2494" w:type="dxa"/>
            <w:vAlign w:val="center"/>
          </w:tcPr>
          <w:p>
            <w:pPr>
              <w:pStyle w:val="22"/>
              <w:jc w:val="center"/>
              <w:rPr>
                <w:rFonts w:ascii="宋体" w:hAnsi="宋体" w:cs="仿宋_GB2312"/>
                <w:sz w:val="24"/>
              </w:rPr>
            </w:pPr>
          </w:p>
        </w:tc>
        <w:tc>
          <w:tcPr>
            <w:tcW w:w="2598" w:type="dxa"/>
            <w:vAlign w:val="center"/>
          </w:tcPr>
          <w:p>
            <w:pPr>
              <w:pStyle w:val="22"/>
              <w:jc w:val="center"/>
              <w:rPr>
                <w:rFonts w:ascii="宋体" w:hAnsi="宋体" w:cs="仿宋_GB2312"/>
                <w:sz w:val="24"/>
              </w:rPr>
            </w:pPr>
          </w:p>
        </w:tc>
        <w:tc>
          <w:tcPr>
            <w:tcW w:w="1702" w:type="dxa"/>
            <w:vAlign w:val="center"/>
          </w:tcPr>
          <w:p>
            <w:pPr>
              <w:pStyle w:val="22"/>
              <w:jc w:val="center"/>
              <w:rPr>
                <w:rFonts w:ascii="宋体" w:hAnsi="宋体" w:cs="仿宋_GB2312"/>
                <w:sz w:val="24"/>
              </w:rPr>
            </w:pPr>
          </w:p>
        </w:tc>
        <w:tc>
          <w:tcPr>
            <w:tcW w:w="1842" w:type="dxa"/>
            <w:vAlign w:val="center"/>
          </w:tcPr>
          <w:p>
            <w:pPr>
              <w:pStyle w:val="22"/>
              <w:jc w:val="center"/>
              <w:rPr>
                <w:rFonts w:ascii="宋体" w:hAnsi="宋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78" w:type="dxa"/>
            <w:vAlign w:val="center"/>
          </w:tcPr>
          <w:p>
            <w:pPr>
              <w:pStyle w:val="22"/>
              <w:jc w:val="center"/>
              <w:rPr>
                <w:rFonts w:ascii="宋体" w:hAnsi="宋体" w:cs="仿宋_GB2312"/>
                <w:sz w:val="24"/>
              </w:rPr>
            </w:pPr>
          </w:p>
        </w:tc>
        <w:tc>
          <w:tcPr>
            <w:tcW w:w="2494" w:type="dxa"/>
            <w:vAlign w:val="center"/>
          </w:tcPr>
          <w:p>
            <w:pPr>
              <w:pStyle w:val="22"/>
              <w:jc w:val="center"/>
              <w:rPr>
                <w:rFonts w:ascii="宋体" w:hAnsi="宋体" w:cs="仿宋_GB2312"/>
                <w:sz w:val="24"/>
              </w:rPr>
            </w:pPr>
          </w:p>
        </w:tc>
        <w:tc>
          <w:tcPr>
            <w:tcW w:w="2598" w:type="dxa"/>
            <w:vAlign w:val="center"/>
          </w:tcPr>
          <w:p>
            <w:pPr>
              <w:pStyle w:val="22"/>
              <w:jc w:val="center"/>
              <w:rPr>
                <w:rFonts w:ascii="宋体" w:hAnsi="宋体" w:cs="仿宋_GB2312"/>
                <w:sz w:val="24"/>
              </w:rPr>
            </w:pPr>
          </w:p>
        </w:tc>
        <w:tc>
          <w:tcPr>
            <w:tcW w:w="1702" w:type="dxa"/>
            <w:vAlign w:val="center"/>
          </w:tcPr>
          <w:p>
            <w:pPr>
              <w:pStyle w:val="22"/>
              <w:jc w:val="center"/>
              <w:rPr>
                <w:rFonts w:ascii="宋体" w:hAnsi="宋体" w:cs="仿宋_GB2312"/>
                <w:sz w:val="24"/>
              </w:rPr>
            </w:pPr>
          </w:p>
        </w:tc>
        <w:tc>
          <w:tcPr>
            <w:tcW w:w="1842" w:type="dxa"/>
            <w:vAlign w:val="center"/>
          </w:tcPr>
          <w:p>
            <w:pPr>
              <w:pStyle w:val="22"/>
              <w:jc w:val="center"/>
              <w:rPr>
                <w:rFonts w:ascii="宋体" w:hAnsi="宋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578" w:type="dxa"/>
            <w:vAlign w:val="center"/>
          </w:tcPr>
          <w:p>
            <w:pPr>
              <w:pStyle w:val="22"/>
              <w:jc w:val="center"/>
              <w:rPr>
                <w:rFonts w:ascii="宋体" w:hAnsi="宋体" w:cs="仿宋_GB2312"/>
                <w:sz w:val="24"/>
              </w:rPr>
            </w:pPr>
            <w:r>
              <w:rPr>
                <w:rFonts w:hint="eastAsia" w:ascii="宋体" w:hAnsi="宋体" w:cs="仿宋_GB2312"/>
                <w:sz w:val="24"/>
              </w:rPr>
              <w:t>…</w:t>
            </w:r>
          </w:p>
        </w:tc>
        <w:tc>
          <w:tcPr>
            <w:tcW w:w="2494" w:type="dxa"/>
            <w:vAlign w:val="center"/>
          </w:tcPr>
          <w:p>
            <w:pPr>
              <w:pStyle w:val="22"/>
              <w:jc w:val="center"/>
              <w:rPr>
                <w:rFonts w:ascii="宋体" w:hAnsi="宋体" w:cs="仿宋_GB2312"/>
                <w:sz w:val="24"/>
              </w:rPr>
            </w:pPr>
          </w:p>
        </w:tc>
        <w:tc>
          <w:tcPr>
            <w:tcW w:w="2598" w:type="dxa"/>
            <w:vAlign w:val="center"/>
          </w:tcPr>
          <w:p>
            <w:pPr>
              <w:pStyle w:val="22"/>
              <w:jc w:val="center"/>
              <w:rPr>
                <w:rFonts w:ascii="宋体" w:hAnsi="宋体" w:cs="仿宋_GB2312"/>
                <w:sz w:val="24"/>
              </w:rPr>
            </w:pPr>
          </w:p>
        </w:tc>
        <w:tc>
          <w:tcPr>
            <w:tcW w:w="1702" w:type="dxa"/>
            <w:vAlign w:val="center"/>
          </w:tcPr>
          <w:p>
            <w:pPr>
              <w:pStyle w:val="22"/>
              <w:jc w:val="center"/>
              <w:rPr>
                <w:rFonts w:ascii="宋体" w:hAnsi="宋体" w:cs="仿宋_GB2312"/>
                <w:sz w:val="24"/>
              </w:rPr>
            </w:pPr>
          </w:p>
        </w:tc>
        <w:tc>
          <w:tcPr>
            <w:tcW w:w="1842" w:type="dxa"/>
            <w:vAlign w:val="center"/>
          </w:tcPr>
          <w:p>
            <w:pPr>
              <w:pStyle w:val="22"/>
              <w:jc w:val="center"/>
              <w:rPr>
                <w:rFonts w:ascii="宋体" w:hAnsi="宋体" w:cs="仿宋_GB2312"/>
                <w:sz w:val="24"/>
              </w:rPr>
            </w:pPr>
          </w:p>
        </w:tc>
      </w:tr>
    </w:tbl>
    <w:p>
      <w:pPr>
        <w:pStyle w:val="22"/>
        <w:adjustRightInd w:val="0"/>
        <w:snapToGrid w:val="0"/>
        <w:spacing w:line="360" w:lineRule="auto"/>
        <w:ind w:left="562" w:hanging="562" w:hangingChars="200"/>
        <w:rPr>
          <w:rFonts w:ascii="宋体" w:hAnsi="宋体"/>
          <w:sz w:val="24"/>
          <w:szCs w:val="24"/>
        </w:rPr>
      </w:pPr>
      <w:r>
        <w:rPr>
          <w:rFonts w:hint="eastAsia" w:ascii="宋体" w:hAnsi="宋体" w:cs="Corbel"/>
          <w:b/>
          <w:szCs w:val="28"/>
        </w:rPr>
        <w:t>注：</w:t>
      </w:r>
      <w:r>
        <w:rPr>
          <w:rFonts w:hint="eastAsia" w:ascii="宋体" w:hAnsi="宋体" w:cs="Corbel"/>
          <w:szCs w:val="28"/>
        </w:rPr>
        <w:t>投标人须按技术评议评分标准内容所列条目，逐条注明证明文件的具体页码，若有其他情况则在备注中说明。</w:t>
      </w:r>
      <w:r>
        <w:rPr>
          <w:rFonts w:ascii="宋体" w:hAnsi="宋体"/>
          <w:sz w:val="24"/>
          <w:szCs w:val="24"/>
        </w:rPr>
        <w:t xml:space="preserve"> </w:t>
      </w:r>
    </w:p>
    <w:p>
      <w:pPr>
        <w:pStyle w:val="29"/>
      </w:pPr>
      <w:r>
        <w:br w:type="page"/>
      </w:r>
      <w:bookmarkStart w:id="150" w:name="_Toc5974940"/>
      <w:bookmarkStart w:id="151" w:name="_Toc519362017"/>
      <w:r>
        <w:rPr>
          <w:rFonts w:hint="eastAsia"/>
        </w:rPr>
        <w:t>技术文件组成</w:t>
      </w:r>
      <w:bookmarkEnd w:id="150"/>
      <w:bookmarkEnd w:id="151"/>
    </w:p>
    <w:p>
      <w:pPr>
        <w:pStyle w:val="36"/>
        <w:rPr>
          <w:rFonts w:ascii="宋体" w:hAnsi="宋体"/>
        </w:rPr>
      </w:pPr>
    </w:p>
    <w:p>
      <w:pPr>
        <w:pStyle w:val="36"/>
        <w:jc w:val="center"/>
        <w:rPr>
          <w:rFonts w:ascii="宋体" w:hAnsi="宋体"/>
          <w:b/>
        </w:rPr>
      </w:pPr>
      <w:r>
        <w:rPr>
          <w:rFonts w:hint="eastAsia" w:ascii="宋体" w:hAnsi="宋体"/>
          <w:b/>
        </w:rPr>
        <w:t>编</w:t>
      </w:r>
      <w:r>
        <w:rPr>
          <w:rFonts w:ascii="宋体" w:hAnsi="宋体"/>
          <w:b/>
        </w:rPr>
        <w:t xml:space="preserve">  </w:t>
      </w:r>
      <w:r>
        <w:rPr>
          <w:rFonts w:hint="eastAsia" w:ascii="宋体" w:hAnsi="宋体"/>
          <w:b/>
        </w:rPr>
        <w:t>制</w:t>
      </w:r>
      <w:r>
        <w:rPr>
          <w:rFonts w:ascii="宋体" w:hAnsi="宋体"/>
          <w:b/>
        </w:rPr>
        <w:t xml:space="preserve">  </w:t>
      </w:r>
      <w:r>
        <w:rPr>
          <w:rFonts w:hint="eastAsia" w:ascii="宋体" w:hAnsi="宋体"/>
          <w:b/>
        </w:rPr>
        <w:t>说</w:t>
      </w:r>
      <w:r>
        <w:rPr>
          <w:rFonts w:ascii="宋体" w:hAnsi="宋体"/>
          <w:b/>
        </w:rPr>
        <w:t xml:space="preserve">  </w:t>
      </w:r>
      <w:r>
        <w:rPr>
          <w:rFonts w:hint="eastAsia" w:ascii="宋体" w:hAnsi="宋体"/>
          <w:b/>
        </w:rPr>
        <w:t>明</w:t>
      </w:r>
    </w:p>
    <w:p>
      <w:pPr>
        <w:pStyle w:val="36"/>
        <w:tabs>
          <w:tab w:val="left" w:pos="1365"/>
        </w:tabs>
        <w:spacing w:line="360" w:lineRule="auto"/>
        <w:ind w:firstLine="560" w:firstLineChars="200"/>
        <w:jc w:val="left"/>
        <w:rPr>
          <w:rFonts w:ascii="宋体" w:hAnsi="宋体"/>
          <w:szCs w:val="28"/>
        </w:rPr>
      </w:pPr>
      <w:r>
        <w:rPr>
          <w:rFonts w:hint="eastAsia" w:ascii="宋体" w:hAnsi="宋体"/>
          <w:szCs w:val="28"/>
        </w:rPr>
        <w:t>由各投标人根据参考格式要求自行编写。目录清晰、内容详尽、易于理解和评审并富有建设性的技术方案将在评标时具有优势。具体内容应包括但不限于：</w:t>
      </w:r>
    </w:p>
    <w:p>
      <w:pPr>
        <w:pStyle w:val="36"/>
        <w:tabs>
          <w:tab w:val="left" w:pos="1365"/>
        </w:tabs>
        <w:spacing w:line="360" w:lineRule="auto"/>
        <w:ind w:firstLine="565" w:firstLineChars="202"/>
        <w:jc w:val="left"/>
        <w:rPr>
          <w:rFonts w:ascii="宋体" w:hAnsi="宋体"/>
          <w:szCs w:val="28"/>
        </w:rPr>
      </w:pPr>
      <w:r>
        <w:rPr>
          <w:rFonts w:ascii="宋体" w:hAnsi="宋体"/>
          <w:szCs w:val="28"/>
        </w:rPr>
        <w:t>1、技术文件目录（目录须涵盖下述所有资料页码清晰，以便查阅）；</w:t>
      </w:r>
    </w:p>
    <w:p>
      <w:pPr>
        <w:pStyle w:val="36"/>
        <w:tabs>
          <w:tab w:val="left" w:pos="1365"/>
        </w:tabs>
        <w:spacing w:line="360" w:lineRule="auto"/>
        <w:ind w:firstLine="565" w:firstLineChars="202"/>
        <w:jc w:val="left"/>
        <w:rPr>
          <w:rFonts w:ascii="宋体" w:hAnsi="宋体"/>
          <w:szCs w:val="28"/>
        </w:rPr>
      </w:pPr>
      <w:r>
        <w:rPr>
          <w:rFonts w:ascii="宋体" w:hAnsi="宋体"/>
          <w:szCs w:val="28"/>
        </w:rPr>
        <w:t>2、投标服务介绍、项目建设（服务）方案；</w:t>
      </w:r>
    </w:p>
    <w:p>
      <w:pPr>
        <w:pStyle w:val="36"/>
        <w:tabs>
          <w:tab w:val="left" w:pos="1365"/>
        </w:tabs>
        <w:spacing w:line="360" w:lineRule="auto"/>
        <w:ind w:firstLine="565" w:firstLineChars="202"/>
        <w:jc w:val="left"/>
        <w:rPr>
          <w:rFonts w:ascii="宋体" w:hAnsi="宋体"/>
          <w:szCs w:val="28"/>
        </w:rPr>
      </w:pPr>
      <w:r>
        <w:rPr>
          <w:rFonts w:ascii="宋体" w:hAnsi="宋体"/>
          <w:szCs w:val="28"/>
        </w:rPr>
        <w:t>3</w:t>
      </w:r>
      <w:r>
        <w:rPr>
          <w:rFonts w:hint="eastAsia" w:ascii="宋体" w:hAnsi="宋体"/>
          <w:szCs w:val="28"/>
        </w:rPr>
        <w:t>、招标文件要求提供或投标人认为需提供的其它资料。</w:t>
      </w:r>
    </w:p>
    <w:p>
      <w:pPr>
        <w:pStyle w:val="36"/>
        <w:tabs>
          <w:tab w:val="left" w:pos="1365"/>
        </w:tabs>
        <w:spacing w:line="360" w:lineRule="auto"/>
        <w:jc w:val="left"/>
        <w:rPr>
          <w:rFonts w:ascii="宋体" w:hAnsi="宋体"/>
          <w:szCs w:val="28"/>
        </w:rPr>
      </w:pPr>
      <w:r>
        <w:rPr>
          <w:rFonts w:hint="eastAsia" w:ascii="宋体" w:hAnsi="宋体"/>
          <w:szCs w:val="28"/>
        </w:rPr>
        <w:t>说明：投标文件技术服务文件的编制原则，一是按文件要求，提供相应说明、资料、表格以证明所投货物、服务是否响应招标文件要求；二是对应项目评标标准，充分体现所投货物、服务对于评分标准的响应程度和优势。</w:t>
      </w:r>
    </w:p>
    <w:p>
      <w:pPr>
        <w:pStyle w:val="36"/>
        <w:spacing w:line="500" w:lineRule="exact"/>
        <w:ind w:firstLine="560" w:firstLineChars="200"/>
        <w:rPr>
          <w:rFonts w:ascii="宋体" w:hAnsi="宋体"/>
          <w:szCs w:val="28"/>
        </w:rPr>
      </w:pPr>
      <w:r>
        <w:rPr>
          <w:rFonts w:hint="eastAsia" w:ascii="宋体" w:hAnsi="宋体"/>
          <w:szCs w:val="28"/>
        </w:rPr>
        <w:t>注明：各投标人根据项目的需要参照以上内容制作投标文件。</w:t>
      </w:r>
    </w:p>
    <w:p>
      <w:pPr>
        <w:rPr>
          <w:color w:val="000000"/>
        </w:rPr>
      </w:pPr>
    </w:p>
    <w:p/>
    <w:sectPr>
      <w:footerReference r:id="rId8" w:type="default"/>
      <w:pgSz w:w="11907" w:h="16840"/>
      <w:pgMar w:top="1588" w:right="1474" w:bottom="1701" w:left="1531"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0000012" w:usb3="00000000" w:csb0="4002009F" w:csb1="DFD70000"/>
  </w:font>
  <w:font w:name="Wingdings 2">
    <w:panose1 w:val="05020102010507070707"/>
    <w:charset w:val="02"/>
    <w:family w:val="roman"/>
    <w:pitch w:val="default"/>
    <w:sig w:usb0="00000000" w:usb1="00000000" w:usb2="00000000" w:usb3="00000000" w:csb0="80000000" w:csb1="00000000"/>
  </w:font>
  <w:font w:name="仿宋_GB2312">
    <w:altName w:val="仿宋"/>
    <w:panose1 w:val="00000000000000000000"/>
    <w:charset w:val="86"/>
    <w:family w:val="modern"/>
    <w:pitch w:val="default"/>
    <w:sig w:usb0="00000000" w:usb1="00000000" w:usb2="00000000" w:usb3="00000000" w:csb0="00040000" w:csb1="00000000"/>
  </w:font>
  <w:font w:name="Corbel">
    <w:panose1 w:val="020B0503020204020204"/>
    <w:charset w:val="00"/>
    <w:family w:val="swiss"/>
    <w:pitch w:val="default"/>
    <w:sig w:usb0="A00002EF" w:usb1="4000A44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BwCBe6nAQAAPwMAAA4AAAAA&#10;AAAAAQAgAAAAHgEAAGRycy9lMm9Eb2MueG1sUEsFBgAAAAAGAAYAWQEAADcFAAAAAA==&#10;">
              <v:fill on="f" focussize="0,0"/>
              <v:stroke on="f"/>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宋体" w:hAnsi="宋体"/>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jc w:val="center"/>
                          </w:pPr>
                          <w:r>
                            <w:rPr>
                              <w:rFonts w:ascii="宋体" w:hAnsi="宋体"/>
                              <w:sz w:val="24"/>
                              <w:szCs w:val="24"/>
                            </w:rPr>
                            <w:fldChar w:fldCharType="begin"/>
                          </w:r>
                          <w:r>
                            <w:rPr>
                              <w:rFonts w:ascii="宋体" w:hAnsi="宋体"/>
                              <w:sz w:val="24"/>
                              <w:szCs w:val="24"/>
                              <w:highlight w:val="white"/>
                            </w:rPr>
                            <w:instrText xml:space="preserve">PAGE   \* MERGEFORMAT</w:instrText>
                          </w:r>
                          <w:r>
                            <w:rPr>
                              <w:rFonts w:ascii="宋体" w:hAnsi="宋体"/>
                              <w:sz w:val="24"/>
                              <w:szCs w:val="24"/>
                            </w:rPr>
                            <w:fldChar w:fldCharType="separate"/>
                          </w:r>
                          <w:r>
                            <w:rPr>
                              <w:rFonts w:ascii="宋体" w:hAnsi="宋体"/>
                              <w:sz w:val="24"/>
                              <w:szCs w:val="24"/>
                              <w:highlight w:val="white"/>
                              <w:lang w:val="zh-CN"/>
                            </w:rPr>
                            <w:t>3</w:t>
                          </w:r>
                          <w:r>
                            <w:rPr>
                              <w:rFonts w:ascii="宋体" w:hAnsi="宋体"/>
                              <w:sz w:val="24"/>
                              <w:szCs w:val="24"/>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KNfitanAQAAPwMAAA4AAAAA&#10;AAAAAQAgAAAAHgEAAGRycy9lMm9Eb2MueG1sUEsFBgAAAAAGAAYAWQEAADcFAAAAAA==&#10;">
              <v:fill on="f" focussize="0,0"/>
              <v:stroke on="f"/>
              <v:imagedata o:title=""/>
              <o:lock v:ext="edit" aspectratio="f"/>
              <v:textbox inset="0mm,0mm,0mm,0mm" style="mso-fit-shape-to-text:t;">
                <w:txbxContent>
                  <w:p>
                    <w:pPr>
                      <w:pStyle w:val="9"/>
                      <w:jc w:val="center"/>
                    </w:pPr>
                    <w:r>
                      <w:rPr>
                        <w:rFonts w:ascii="宋体" w:hAnsi="宋体"/>
                        <w:sz w:val="24"/>
                        <w:szCs w:val="24"/>
                      </w:rPr>
                      <w:fldChar w:fldCharType="begin"/>
                    </w:r>
                    <w:r>
                      <w:rPr>
                        <w:rFonts w:ascii="宋体" w:hAnsi="宋体"/>
                        <w:sz w:val="24"/>
                        <w:szCs w:val="24"/>
                        <w:highlight w:val="white"/>
                      </w:rPr>
                      <w:instrText xml:space="preserve">PAGE   \* MERGEFORMAT</w:instrText>
                    </w:r>
                    <w:r>
                      <w:rPr>
                        <w:rFonts w:ascii="宋体" w:hAnsi="宋体"/>
                        <w:sz w:val="24"/>
                        <w:szCs w:val="24"/>
                      </w:rPr>
                      <w:fldChar w:fldCharType="separate"/>
                    </w:r>
                    <w:r>
                      <w:rPr>
                        <w:rFonts w:ascii="宋体" w:hAnsi="宋体"/>
                        <w:sz w:val="24"/>
                        <w:szCs w:val="24"/>
                        <w:highlight w:val="white"/>
                        <w:lang w:val="zh-CN"/>
                      </w:rPr>
                      <w:t>3</w:t>
                    </w:r>
                    <w:r>
                      <w:rPr>
                        <w:rFonts w:ascii="宋体" w:hAnsi="宋体"/>
                        <w:sz w:val="24"/>
                        <w:szCs w:val="24"/>
                      </w:rPr>
                      <w:fldChar w:fldCharType="end"/>
                    </w:r>
                  </w:p>
                </w:txbxContent>
              </v:textbox>
            </v:shape>
          </w:pict>
        </mc:Fallback>
      </mc:AlternateContent>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宋体" w:hAnsi="宋体"/>
        <w:sz w:val="24"/>
        <w:szCs w:val="24"/>
      </w:rPr>
    </w:pPr>
    <w:r>
      <w:rPr>
        <w:rFonts w:ascii="宋体" w:hAnsi="宋体"/>
        <w:sz w:val="24"/>
        <w:szCs w:val="24"/>
      </w:rPr>
      <w:fldChar w:fldCharType="begin"/>
    </w:r>
    <w:r>
      <w:rPr>
        <w:rFonts w:ascii="宋体" w:hAnsi="宋体"/>
        <w:sz w:val="24"/>
        <w:szCs w:val="24"/>
        <w:highlight w:val="white"/>
      </w:rPr>
      <w:instrText xml:space="preserve">PAGE   \* MERGEFORMAT</w:instrText>
    </w:r>
    <w:r>
      <w:rPr>
        <w:rFonts w:ascii="宋体" w:hAnsi="宋体"/>
        <w:sz w:val="24"/>
        <w:szCs w:val="24"/>
      </w:rPr>
      <w:fldChar w:fldCharType="separate"/>
    </w:r>
    <w:r>
      <w:rPr>
        <w:rFonts w:ascii="宋体" w:hAnsi="宋体"/>
        <w:sz w:val="24"/>
        <w:szCs w:val="24"/>
        <w:highlight w:val="white"/>
        <w:lang w:val="zh-CN"/>
      </w:rPr>
      <w:t>1</w:t>
    </w:r>
    <w:r>
      <w:rPr>
        <w:rFonts w:ascii="宋体" w:hAnsi="宋体"/>
        <w:sz w:val="24"/>
        <w:szCs w:val="24"/>
      </w:rPr>
      <w:fldChar w:fldCharType="end"/>
    </w:r>
  </w:p>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67</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DOqXm5zwAAAAUBAAAPAAAAAAAAAAEA&#10;IAAAACIAAABkcnMvZG93bnJldi54bWxQSwECFAAUAAAACACHTuJAIZKpRaYBAAA/AwAADgAAAAAA&#10;AAABACAAAAAeAQAAZHJzL2Uyb0RvYy54bWxQSwUGAAAAAAYABgBZAQAANgUAAAAA&#10;">
              <v:fill on="f" focussize="0,0"/>
              <v:stroke on="f"/>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67</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BCBBBB"/>
    <w:multiLevelType w:val="multilevel"/>
    <w:tmpl w:val="87BCBBBB"/>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2"/>
      <w:numFmt w:val="decimal"/>
      <w:lvlText w:val="%3、"/>
      <w:lvlJc w:val="left"/>
      <w:pPr>
        <w:tabs>
          <w:tab w:val="left" w:pos="1980"/>
        </w:tabs>
        <w:ind w:left="1980" w:hanging="720"/>
      </w:pPr>
      <w:rPr>
        <w:rFonts w:hint="default"/>
        <w:color w:val="auto"/>
        <w:sz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8C6C368B"/>
    <w:multiLevelType w:val="multilevel"/>
    <w:tmpl w:val="8C6C368B"/>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2"/>
      <w:numFmt w:val="decimal"/>
      <w:lvlText w:val="%3、"/>
      <w:lvlJc w:val="left"/>
      <w:pPr>
        <w:tabs>
          <w:tab w:val="left" w:pos="1980"/>
        </w:tabs>
        <w:ind w:left="1980" w:hanging="720"/>
      </w:pPr>
      <w:rPr>
        <w:color w:val="auto"/>
        <w:sz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8FF5089F"/>
    <w:multiLevelType w:val="singleLevel"/>
    <w:tmpl w:val="8FF5089F"/>
    <w:lvl w:ilvl="0" w:tentative="0">
      <w:start w:val="3"/>
      <w:numFmt w:val="chineseCounting"/>
      <w:suff w:val="nothing"/>
      <w:lvlText w:val="%1、"/>
      <w:lvlJc w:val="left"/>
      <w:rPr>
        <w:rFonts w:hint="eastAsia"/>
      </w:rPr>
    </w:lvl>
  </w:abstractNum>
  <w:abstractNum w:abstractNumId="3">
    <w:nsid w:val="A0B20328"/>
    <w:multiLevelType w:val="multilevel"/>
    <w:tmpl w:val="A0B20328"/>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2"/>
      <w:numFmt w:val="decimal"/>
      <w:lvlText w:val="%3、"/>
      <w:lvlJc w:val="left"/>
      <w:pPr>
        <w:tabs>
          <w:tab w:val="left" w:pos="1980"/>
        </w:tabs>
        <w:ind w:left="1980" w:hanging="720"/>
      </w:pPr>
      <w:rPr>
        <w:rFonts w:hint="default"/>
        <w:color w:val="auto"/>
        <w:sz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A290229A"/>
    <w:multiLevelType w:val="singleLevel"/>
    <w:tmpl w:val="A290229A"/>
    <w:lvl w:ilvl="0" w:tentative="0">
      <w:start w:val="3"/>
      <w:numFmt w:val="decimal"/>
      <w:suff w:val="nothing"/>
      <w:lvlText w:val="%1、"/>
      <w:lvlJc w:val="left"/>
    </w:lvl>
  </w:abstractNum>
  <w:abstractNum w:abstractNumId="5">
    <w:nsid w:val="A5F8B426"/>
    <w:multiLevelType w:val="singleLevel"/>
    <w:tmpl w:val="A5F8B426"/>
    <w:lvl w:ilvl="0" w:tentative="0">
      <w:start w:val="1"/>
      <w:numFmt w:val="decimal"/>
      <w:suff w:val="nothing"/>
      <w:lvlText w:val="%1．"/>
      <w:lvlJc w:val="left"/>
      <w:pPr>
        <w:ind w:left="0" w:firstLine="400"/>
      </w:pPr>
      <w:rPr>
        <w:rFonts w:hint="default"/>
      </w:rPr>
    </w:lvl>
  </w:abstractNum>
  <w:abstractNum w:abstractNumId="6">
    <w:nsid w:val="C6A02A0D"/>
    <w:multiLevelType w:val="multilevel"/>
    <w:tmpl w:val="C6A02A0D"/>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2"/>
      <w:numFmt w:val="decimal"/>
      <w:lvlText w:val="%3、"/>
      <w:lvlJc w:val="left"/>
      <w:pPr>
        <w:tabs>
          <w:tab w:val="left" w:pos="1980"/>
        </w:tabs>
        <w:ind w:left="1980" w:hanging="720"/>
      </w:pPr>
      <w:rPr>
        <w:rFonts w:hint="default"/>
        <w:color w:val="auto"/>
        <w:sz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FD081DD0"/>
    <w:multiLevelType w:val="multilevel"/>
    <w:tmpl w:val="FD081DD0"/>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2"/>
      <w:numFmt w:val="decimal"/>
      <w:lvlText w:val="%3、"/>
      <w:lvlJc w:val="left"/>
      <w:pPr>
        <w:tabs>
          <w:tab w:val="left" w:pos="1980"/>
        </w:tabs>
        <w:ind w:left="1980" w:hanging="720"/>
      </w:pPr>
      <w:rPr>
        <w:rFonts w:hint="default"/>
        <w:color w:val="auto"/>
        <w:sz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0C6ECED8"/>
    <w:multiLevelType w:val="multilevel"/>
    <w:tmpl w:val="0C6ECED8"/>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2"/>
      <w:numFmt w:val="decimal"/>
      <w:lvlText w:val="%3、"/>
      <w:lvlJc w:val="left"/>
      <w:pPr>
        <w:tabs>
          <w:tab w:val="left" w:pos="1980"/>
        </w:tabs>
        <w:ind w:left="1980" w:hanging="720"/>
      </w:pPr>
      <w:rPr>
        <w:rFonts w:hint="default"/>
        <w:color w:val="auto"/>
        <w:sz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0D62B181"/>
    <w:multiLevelType w:val="multilevel"/>
    <w:tmpl w:val="0D62B181"/>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2"/>
      <w:numFmt w:val="decimal"/>
      <w:lvlText w:val="%3、"/>
      <w:lvlJc w:val="left"/>
      <w:pPr>
        <w:tabs>
          <w:tab w:val="left" w:pos="1980"/>
        </w:tabs>
        <w:ind w:left="1980" w:hanging="720"/>
      </w:pPr>
      <w:rPr>
        <w:rFonts w:hint="default"/>
        <w:color w:val="auto"/>
        <w:sz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176EDE30"/>
    <w:multiLevelType w:val="multilevel"/>
    <w:tmpl w:val="176EDE30"/>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2"/>
      <w:numFmt w:val="decimal"/>
      <w:lvlText w:val="%3、"/>
      <w:lvlJc w:val="left"/>
      <w:pPr>
        <w:tabs>
          <w:tab w:val="left" w:pos="1980"/>
        </w:tabs>
        <w:ind w:left="1980" w:hanging="720"/>
      </w:pPr>
      <w:rPr>
        <w:rFonts w:hint="default"/>
        <w:color w:val="auto"/>
        <w:sz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199B8A70"/>
    <w:multiLevelType w:val="multilevel"/>
    <w:tmpl w:val="199B8A70"/>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2"/>
      <w:numFmt w:val="decimal"/>
      <w:lvlText w:val="%3、"/>
      <w:lvlJc w:val="left"/>
      <w:pPr>
        <w:tabs>
          <w:tab w:val="left" w:pos="1980"/>
        </w:tabs>
        <w:ind w:left="1980" w:hanging="720"/>
      </w:pPr>
      <w:rPr>
        <w:rFonts w:hint="default"/>
        <w:color w:val="auto"/>
        <w:sz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19BF5AE2"/>
    <w:multiLevelType w:val="multilevel"/>
    <w:tmpl w:val="19BF5AE2"/>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2"/>
      <w:numFmt w:val="decimal"/>
      <w:lvlText w:val="%3、"/>
      <w:lvlJc w:val="left"/>
      <w:pPr>
        <w:tabs>
          <w:tab w:val="left" w:pos="1980"/>
        </w:tabs>
        <w:ind w:left="1980" w:hanging="720"/>
      </w:pPr>
      <w:rPr>
        <w:color w:val="auto"/>
        <w:sz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1B4C7ADC"/>
    <w:multiLevelType w:val="multilevel"/>
    <w:tmpl w:val="1B4C7ADC"/>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2"/>
      <w:numFmt w:val="decimal"/>
      <w:lvlText w:val="%3、"/>
      <w:lvlJc w:val="left"/>
      <w:pPr>
        <w:tabs>
          <w:tab w:val="left" w:pos="1980"/>
        </w:tabs>
        <w:ind w:left="1980" w:hanging="720"/>
      </w:pPr>
      <w:rPr>
        <w:rFonts w:hint="default"/>
        <w:color w:val="auto"/>
        <w:sz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23314440"/>
    <w:multiLevelType w:val="multilevel"/>
    <w:tmpl w:val="23314440"/>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2"/>
      <w:numFmt w:val="decimal"/>
      <w:lvlText w:val="%3、"/>
      <w:lvlJc w:val="left"/>
      <w:pPr>
        <w:tabs>
          <w:tab w:val="left" w:pos="1980"/>
        </w:tabs>
        <w:ind w:left="1980" w:hanging="720"/>
      </w:pPr>
      <w:rPr>
        <w:rFonts w:hint="default"/>
        <w:color w:val="auto"/>
        <w:sz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27B5F4CB"/>
    <w:multiLevelType w:val="singleLevel"/>
    <w:tmpl w:val="27B5F4CB"/>
    <w:lvl w:ilvl="0" w:tentative="0">
      <w:start w:val="3"/>
      <w:numFmt w:val="decimal"/>
      <w:suff w:val="space"/>
      <w:lvlText w:val="%1）"/>
      <w:lvlJc w:val="left"/>
    </w:lvl>
  </w:abstractNum>
  <w:abstractNum w:abstractNumId="16">
    <w:nsid w:val="4901B3AD"/>
    <w:multiLevelType w:val="multilevel"/>
    <w:tmpl w:val="4901B3AD"/>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2"/>
      <w:numFmt w:val="decimal"/>
      <w:lvlText w:val="%3、"/>
      <w:lvlJc w:val="left"/>
      <w:pPr>
        <w:tabs>
          <w:tab w:val="left" w:pos="1980"/>
        </w:tabs>
        <w:ind w:left="1980" w:hanging="720"/>
      </w:pPr>
      <w:rPr>
        <w:color w:val="auto"/>
        <w:sz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4B569B12"/>
    <w:multiLevelType w:val="multilevel"/>
    <w:tmpl w:val="4B569B12"/>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2"/>
      <w:numFmt w:val="decimal"/>
      <w:lvlText w:val="%3、"/>
      <w:lvlJc w:val="left"/>
      <w:pPr>
        <w:tabs>
          <w:tab w:val="left" w:pos="1980"/>
        </w:tabs>
        <w:ind w:left="1980" w:hanging="720"/>
      </w:pPr>
      <w:rPr>
        <w:rFonts w:hint="default"/>
        <w:color w:val="auto"/>
        <w:sz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506922E5"/>
    <w:multiLevelType w:val="multilevel"/>
    <w:tmpl w:val="506922E5"/>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2"/>
      <w:numFmt w:val="decimal"/>
      <w:lvlText w:val="%3、"/>
      <w:lvlJc w:val="left"/>
      <w:pPr>
        <w:tabs>
          <w:tab w:val="left" w:pos="1980"/>
        </w:tabs>
        <w:ind w:left="1980" w:hanging="720"/>
      </w:pPr>
      <w:rPr>
        <w:rFonts w:hint="default"/>
        <w:color w:val="auto"/>
        <w:sz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589356AC"/>
    <w:multiLevelType w:val="multilevel"/>
    <w:tmpl w:val="589356AC"/>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2"/>
      <w:numFmt w:val="decimal"/>
      <w:lvlText w:val="%3、"/>
      <w:lvlJc w:val="left"/>
      <w:pPr>
        <w:tabs>
          <w:tab w:val="left" w:pos="1980"/>
        </w:tabs>
        <w:ind w:left="1980" w:hanging="720"/>
      </w:pPr>
      <w:rPr>
        <w:rFonts w:hint="default"/>
        <w:color w:val="auto"/>
        <w:sz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58D47E72"/>
    <w:multiLevelType w:val="multilevel"/>
    <w:tmpl w:val="58D47E72"/>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2"/>
      <w:numFmt w:val="decimal"/>
      <w:lvlText w:val="%3、"/>
      <w:lvlJc w:val="left"/>
      <w:pPr>
        <w:tabs>
          <w:tab w:val="left" w:pos="1980"/>
        </w:tabs>
        <w:ind w:left="1980" w:hanging="720"/>
      </w:pPr>
      <w:rPr>
        <w:rFonts w:hint="default"/>
        <w:color w:val="auto"/>
        <w:sz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1">
    <w:nsid w:val="650119CB"/>
    <w:multiLevelType w:val="multilevel"/>
    <w:tmpl w:val="650119CB"/>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2"/>
      <w:numFmt w:val="decimal"/>
      <w:lvlText w:val="%3、"/>
      <w:lvlJc w:val="left"/>
      <w:pPr>
        <w:tabs>
          <w:tab w:val="left" w:pos="1980"/>
        </w:tabs>
        <w:ind w:left="1980" w:hanging="720"/>
      </w:pPr>
      <w:rPr>
        <w:rFonts w:hint="default"/>
        <w:color w:val="auto"/>
        <w:sz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6D28FA11"/>
    <w:multiLevelType w:val="multilevel"/>
    <w:tmpl w:val="6D28FA11"/>
    <w:lvl w:ilvl="0" w:tentative="0">
      <w:start w:val="1"/>
      <w:numFmt w:val="decimal"/>
      <w:lvlText w:val="%1)"/>
      <w:lvlJc w:val="left"/>
      <w:pPr>
        <w:ind w:left="840" w:hanging="420"/>
      </w:pPr>
    </w:lvl>
    <w:lvl w:ilvl="1" w:tentative="0">
      <w:start w:val="1"/>
      <w:numFmt w:val="decimal"/>
      <w:lvlText w:val="%2)"/>
      <w:lvlJc w:val="left"/>
      <w:pPr>
        <w:ind w:left="1260" w:hanging="420"/>
      </w:pPr>
    </w:lvl>
    <w:lvl w:ilvl="2" w:tentative="0">
      <w:start w:val="2"/>
      <w:numFmt w:val="decimal"/>
      <w:lvlText w:val="%3、"/>
      <w:lvlJc w:val="left"/>
      <w:pPr>
        <w:tabs>
          <w:tab w:val="left" w:pos="1980"/>
        </w:tabs>
        <w:ind w:left="1980" w:hanging="720"/>
      </w:pPr>
      <w:rPr>
        <w:color w:val="auto"/>
        <w:sz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7E281063"/>
    <w:multiLevelType w:val="multilevel"/>
    <w:tmpl w:val="7E281063"/>
    <w:lvl w:ilvl="0" w:tentative="0">
      <w:start w:val="1"/>
      <w:numFmt w:val="decimal"/>
      <w:lvlText w:val="1.%1"/>
      <w:lvlJc w:val="left"/>
      <w:pPr>
        <w:ind w:left="846" w:hanging="420"/>
      </w:pPr>
      <w:rPr>
        <w:rFonts w:hint="eastAsia"/>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2"/>
  </w:num>
  <w:num w:numId="2">
    <w:abstractNumId w:val="16"/>
  </w:num>
  <w:num w:numId="3">
    <w:abstractNumId w:val="22"/>
  </w:num>
  <w:num w:numId="4">
    <w:abstractNumId w:val="19"/>
  </w:num>
  <w:num w:numId="5">
    <w:abstractNumId w:val="13"/>
  </w:num>
  <w:num w:numId="6">
    <w:abstractNumId w:val="10"/>
  </w:num>
  <w:num w:numId="7">
    <w:abstractNumId w:val="21"/>
  </w:num>
  <w:num w:numId="8">
    <w:abstractNumId w:val="20"/>
  </w:num>
  <w:num w:numId="9">
    <w:abstractNumId w:val="1"/>
  </w:num>
  <w:num w:numId="10">
    <w:abstractNumId w:val="7"/>
  </w:num>
  <w:num w:numId="11">
    <w:abstractNumId w:val="3"/>
  </w:num>
  <w:num w:numId="12">
    <w:abstractNumId w:val="17"/>
  </w:num>
  <w:num w:numId="13">
    <w:abstractNumId w:val="18"/>
  </w:num>
  <w:num w:numId="14">
    <w:abstractNumId w:val="5"/>
  </w:num>
  <w:num w:numId="15">
    <w:abstractNumId w:val="6"/>
  </w:num>
  <w:num w:numId="16">
    <w:abstractNumId w:val="9"/>
  </w:num>
  <w:num w:numId="17">
    <w:abstractNumId w:val="8"/>
  </w:num>
  <w:num w:numId="18">
    <w:abstractNumId w:val="4"/>
  </w:num>
  <w:num w:numId="19">
    <w:abstractNumId w:val="0"/>
  </w:num>
  <w:num w:numId="20">
    <w:abstractNumId w:val="14"/>
  </w:num>
  <w:num w:numId="21">
    <w:abstractNumId w:val="15"/>
  </w:num>
  <w:num w:numId="22">
    <w:abstractNumId w:val="11"/>
  </w:num>
  <w:num w:numId="23">
    <w:abstractNumId w:val="2"/>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1E7DE9"/>
    <w:rsid w:val="000D1FD5"/>
    <w:rsid w:val="001562BE"/>
    <w:rsid w:val="00373379"/>
    <w:rsid w:val="003A64E2"/>
    <w:rsid w:val="005220C5"/>
    <w:rsid w:val="005B6CB5"/>
    <w:rsid w:val="005C1EC8"/>
    <w:rsid w:val="005F7333"/>
    <w:rsid w:val="00734080"/>
    <w:rsid w:val="00982F15"/>
    <w:rsid w:val="00B56873"/>
    <w:rsid w:val="00BD6F7C"/>
    <w:rsid w:val="00C42155"/>
    <w:rsid w:val="00EB309F"/>
    <w:rsid w:val="108A1E90"/>
    <w:rsid w:val="38E020AF"/>
    <w:rsid w:val="3D8B50E8"/>
    <w:rsid w:val="48597C5A"/>
    <w:rsid w:val="4CD8195B"/>
    <w:rsid w:val="4DD7045F"/>
    <w:rsid w:val="50CE5973"/>
    <w:rsid w:val="51997879"/>
    <w:rsid w:val="53A70680"/>
    <w:rsid w:val="681E7DE9"/>
    <w:rsid w:val="77EF6E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overflowPunct w:val="0"/>
      <w:adjustRightInd w:val="0"/>
      <w:snapToGrid w:val="0"/>
      <w:spacing w:before="340" w:after="330"/>
      <w:jc w:val="center"/>
      <w:outlineLvl w:val="0"/>
    </w:pPr>
    <w:rPr>
      <w:rFonts w:ascii="宋体" w:hAnsi="宋体"/>
      <w:b/>
      <w:kern w:val="0"/>
      <w:sz w:val="44"/>
      <w:szCs w:val="44"/>
    </w:rPr>
  </w:style>
  <w:style w:type="paragraph" w:styleId="3">
    <w:name w:val="heading 2"/>
    <w:basedOn w:val="1"/>
    <w:next w:val="1"/>
    <w:qFormat/>
    <w:uiPriority w:val="0"/>
    <w:pPr>
      <w:spacing w:line="600" w:lineRule="exact"/>
      <w:contextualSpacing/>
      <w:jc w:val="center"/>
      <w:outlineLvl w:val="1"/>
    </w:pPr>
    <w:rPr>
      <w:rFonts w:ascii="宋体" w:hAnsi="宋体"/>
      <w:b/>
      <w:bCs/>
      <w:sz w:val="28"/>
      <w:szCs w:val="28"/>
    </w:rPr>
  </w:style>
  <w:style w:type="paragraph" w:styleId="4">
    <w:name w:val="heading 3"/>
    <w:basedOn w:val="1"/>
    <w:next w:val="1"/>
    <w:qFormat/>
    <w:uiPriority w:val="0"/>
    <w:pPr>
      <w:keepNext/>
      <w:keepLines/>
      <w:spacing w:after="120" w:line="500" w:lineRule="exact"/>
      <w:jc w:val="left"/>
      <w:outlineLvl w:val="2"/>
    </w:pPr>
    <w:rPr>
      <w:rFonts w:ascii="宋体" w:hAnsi="宋体"/>
      <w:b/>
      <w:bCs/>
      <w:sz w:val="24"/>
      <w:szCs w:val="24"/>
    </w:rPr>
  </w:style>
  <w:style w:type="paragraph" w:styleId="5">
    <w:name w:val="heading 4"/>
    <w:basedOn w:val="1"/>
    <w:next w:val="1"/>
    <w:qFormat/>
    <w:uiPriority w:val="0"/>
    <w:pPr>
      <w:spacing w:before="240"/>
      <w:ind w:firstLine="425" w:firstLineChars="177"/>
      <w:jc w:val="left"/>
      <w:outlineLvl w:val="3"/>
    </w:pPr>
    <w:rPr>
      <w:rFonts w:ascii="宋体" w:hAnsi="宋体"/>
      <w:sz w:val="24"/>
      <w:szCs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annotation text"/>
    <w:basedOn w:val="1"/>
    <w:semiHidden/>
    <w:qFormat/>
    <w:uiPriority w:val="0"/>
    <w:pPr>
      <w:jc w:val="left"/>
    </w:pPr>
    <w:rPr>
      <w:szCs w:val="24"/>
    </w:rPr>
  </w:style>
  <w:style w:type="paragraph" w:styleId="8">
    <w:name w:val="Plain Text"/>
    <w:basedOn w:val="1"/>
    <w:qFormat/>
    <w:uiPriority w:val="0"/>
    <w:pPr>
      <w:spacing w:line="305" w:lineRule="auto"/>
      <w:ind w:firstLine="420"/>
    </w:pPr>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rFonts w:ascii="宋体" w:hAnsi="宋体"/>
      <w:sz w:val="18"/>
      <w:szCs w:val="18"/>
    </w:rPr>
  </w:style>
  <w:style w:type="paragraph" w:styleId="11">
    <w:name w:val="toc 1"/>
    <w:basedOn w:val="1"/>
    <w:next w:val="1"/>
    <w:qFormat/>
    <w:uiPriority w:val="39"/>
    <w:pPr>
      <w:tabs>
        <w:tab w:val="right" w:leader="dot" w:pos="8296"/>
      </w:tabs>
      <w:ind w:left="2" w:leftChars="1"/>
    </w:pPr>
    <w:rPr>
      <w:b/>
      <w:sz w:val="24"/>
      <w:szCs w:val="20"/>
    </w:rPr>
  </w:style>
  <w:style w:type="paragraph" w:styleId="12">
    <w:name w:val="toc 2"/>
    <w:basedOn w:val="1"/>
    <w:next w:val="1"/>
    <w:qFormat/>
    <w:uiPriority w:val="39"/>
    <w:pPr>
      <w:tabs>
        <w:tab w:val="right" w:leader="dot" w:pos="8296"/>
      </w:tabs>
      <w:ind w:left="200" w:leftChars="200"/>
    </w:pPr>
    <w:rPr>
      <w:sz w:val="24"/>
    </w:rPr>
  </w:style>
  <w:style w:type="character" w:styleId="15">
    <w:name w:val="Hyperlink"/>
    <w:qFormat/>
    <w:uiPriority w:val="99"/>
    <w:rPr>
      <w:color w:val="333333"/>
      <w:u w:val="none"/>
    </w:rPr>
  </w:style>
  <w:style w:type="character" w:styleId="16">
    <w:name w:val="annotation reference"/>
    <w:semiHidden/>
    <w:qFormat/>
    <w:uiPriority w:val="0"/>
    <w:rPr>
      <w:sz w:val="21"/>
      <w:szCs w:val="21"/>
    </w:rPr>
  </w:style>
  <w:style w:type="paragraph" w:styleId="17">
    <w:name w:val="List Paragraph"/>
    <w:basedOn w:val="1"/>
    <w:qFormat/>
    <w:uiPriority w:val="34"/>
    <w:pPr>
      <w:ind w:firstLine="420" w:firstLineChars="200"/>
    </w:pPr>
  </w:style>
  <w:style w:type="paragraph" w:customStyle="1" w:styleId="18">
    <w:name w:val="列出段落1"/>
    <w:qFormat/>
    <w:uiPriority w:val="34"/>
    <w:pPr>
      <w:ind w:firstLine="420" w:firstLineChars="200"/>
    </w:pPr>
    <w:rPr>
      <w:rFonts w:ascii="Times New Roman" w:hAnsi="Times New Roman" w:eastAsia="宋体" w:cs="Times New Roman"/>
      <w:szCs w:val="22"/>
      <w:lang w:val="en-US" w:eastAsia="zh-CN" w:bidi="ar-SA"/>
    </w:rPr>
  </w:style>
  <w:style w:type="paragraph" w:customStyle="1" w:styleId="19">
    <w:name w:val="列出段落2"/>
    <w:basedOn w:val="1"/>
    <w:qFormat/>
    <w:uiPriority w:val="34"/>
    <w:pPr>
      <w:ind w:firstLine="420" w:firstLineChars="200"/>
    </w:pPr>
    <w:rPr>
      <w:szCs w:val="20"/>
    </w:rPr>
  </w:style>
  <w:style w:type="paragraph" w:customStyle="1" w:styleId="20">
    <w:name w:val="正文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正文缩进_1"/>
    <w:basedOn w:val="22"/>
    <w:unhideWhenUsed/>
    <w:qFormat/>
    <w:uiPriority w:val="0"/>
    <w:pPr>
      <w:ind w:firstLine="420" w:firstLineChars="200"/>
    </w:pPr>
    <w:rPr>
      <w:kern w:val="0"/>
      <w:sz w:val="20"/>
      <w:szCs w:val="20"/>
    </w:rPr>
  </w:style>
  <w:style w:type="paragraph" w:customStyle="1" w:styleId="22">
    <w:name w:val="正文_0_0"/>
    <w:qFormat/>
    <w:uiPriority w:val="0"/>
    <w:pPr>
      <w:widowControl w:val="0"/>
      <w:jc w:val="both"/>
    </w:pPr>
    <w:rPr>
      <w:rFonts w:ascii="Times New Roman" w:hAnsi="Times New Roman" w:eastAsia="宋体" w:cs="Times New Roman"/>
      <w:kern w:val="2"/>
      <w:sz w:val="28"/>
      <w:szCs w:val="22"/>
      <w:lang w:val="en-US" w:eastAsia="zh-CN" w:bidi="ar-SA"/>
    </w:rPr>
  </w:style>
  <w:style w:type="paragraph" w:customStyle="1" w:styleId="23">
    <w:name w:val="正文_0"/>
    <w:qFormat/>
    <w:uiPriority w:val="3"/>
    <w:pPr>
      <w:widowControl w:val="0"/>
      <w:jc w:val="both"/>
    </w:pPr>
    <w:rPr>
      <w:rFonts w:ascii="Times New Roman" w:hAnsi="Times New Roman" w:eastAsia="宋体" w:cs="Times New Roman"/>
      <w:kern w:val="2"/>
      <w:sz w:val="21"/>
      <w:szCs w:val="21"/>
      <w:lang w:val="en-US" w:eastAsia="zh-CN" w:bidi="ar-SA"/>
    </w:rPr>
  </w:style>
  <w:style w:type="paragraph" w:customStyle="1" w:styleId="24">
    <w:name w:val="正文文本缩进1"/>
    <w:basedOn w:val="1"/>
    <w:qFormat/>
    <w:uiPriority w:val="0"/>
    <w:pPr>
      <w:spacing w:after="120"/>
      <w:ind w:left="420" w:leftChars="200"/>
    </w:pPr>
  </w:style>
  <w:style w:type="paragraph" w:customStyle="1" w:styleId="25">
    <w:name w:val="标题 3_1"/>
    <w:basedOn w:val="20"/>
    <w:next w:val="20"/>
    <w:unhideWhenUsed/>
    <w:qFormat/>
    <w:uiPriority w:val="9"/>
    <w:pPr>
      <w:keepNext/>
      <w:keepLines/>
      <w:spacing w:before="260" w:after="260" w:line="416" w:lineRule="auto"/>
      <w:outlineLvl w:val="2"/>
    </w:pPr>
    <w:rPr>
      <w:rFonts w:ascii="Calibri" w:hAnsi="Calibri"/>
      <w:b/>
      <w:bCs/>
      <w:sz w:val="32"/>
      <w:szCs w:val="32"/>
    </w:rPr>
  </w:style>
  <w:style w:type="paragraph" w:customStyle="1" w:styleId="26">
    <w:name w:val="_Style 80"/>
    <w:next w:val="17"/>
    <w:qFormat/>
    <w:uiPriority w:val="34"/>
    <w:pPr>
      <w:spacing w:line="360" w:lineRule="auto"/>
      <w:ind w:firstLine="420"/>
    </w:pPr>
    <w:rPr>
      <w:rFonts w:ascii="Times New Roman" w:hAnsi="Times New Roman" w:eastAsia="宋体" w:cs="Times New Roman"/>
      <w:sz w:val="28"/>
      <w:szCs w:val="24"/>
      <w:lang w:val="en-US" w:eastAsia="zh-CN" w:bidi="ar-SA"/>
    </w:rPr>
  </w:style>
  <w:style w:type="paragraph" w:customStyle="1" w:styleId="27">
    <w:name w:val="特点"/>
    <w:basedOn w:val="1"/>
    <w:next w:val="6"/>
    <w:qFormat/>
    <w:uiPriority w:val="0"/>
    <w:pPr>
      <w:spacing w:line="360" w:lineRule="auto"/>
      <w:ind w:left="420" w:firstLine="420"/>
    </w:pPr>
    <w:rPr>
      <w:rFonts w:ascii="宋体" w:hAnsi="宋体"/>
      <w:sz w:val="28"/>
      <w:szCs w:val="28"/>
    </w:rPr>
  </w:style>
  <w:style w:type="paragraph" w:customStyle="1" w:styleId="28">
    <w:name w:val="_Style 86"/>
    <w:next w:val="17"/>
    <w:qFormat/>
    <w:uiPriority w:val="34"/>
    <w:pPr>
      <w:spacing w:line="360" w:lineRule="auto"/>
      <w:ind w:firstLine="420"/>
    </w:pPr>
    <w:rPr>
      <w:rFonts w:ascii="Times New Roman" w:hAnsi="Times New Roman" w:eastAsia="宋体" w:cs="Times New Roman"/>
      <w:sz w:val="28"/>
      <w:szCs w:val="24"/>
      <w:lang w:val="en-US" w:eastAsia="zh-CN" w:bidi="ar-SA"/>
    </w:rPr>
  </w:style>
  <w:style w:type="paragraph" w:customStyle="1" w:styleId="29">
    <w:name w:val="标题 3_0_0"/>
    <w:basedOn w:val="30"/>
    <w:next w:val="30"/>
    <w:qFormat/>
    <w:uiPriority w:val="0"/>
    <w:pPr>
      <w:autoSpaceDE w:val="0"/>
      <w:autoSpaceDN w:val="0"/>
      <w:adjustRightInd w:val="0"/>
      <w:spacing w:line="500" w:lineRule="exact"/>
      <w:jc w:val="center"/>
      <w:outlineLvl w:val="2"/>
    </w:pPr>
    <w:rPr>
      <w:rFonts w:ascii="宋体" w:hAnsi="宋体"/>
      <w:b/>
      <w:szCs w:val="28"/>
    </w:rPr>
  </w:style>
  <w:style w:type="paragraph" w:customStyle="1" w:styleId="30">
    <w:name w:val="正文_0_0_0"/>
    <w:qFormat/>
    <w:uiPriority w:val="0"/>
    <w:pPr>
      <w:widowControl w:val="0"/>
      <w:jc w:val="both"/>
    </w:pPr>
    <w:rPr>
      <w:rFonts w:ascii="Times New Roman" w:hAnsi="Times New Roman" w:eastAsia="宋体" w:cs="Times New Roman"/>
      <w:kern w:val="2"/>
      <w:sz w:val="28"/>
      <w:szCs w:val="22"/>
      <w:lang w:val="en-US" w:eastAsia="zh-CN" w:bidi="ar-SA"/>
    </w:rPr>
  </w:style>
  <w:style w:type="paragraph" w:customStyle="1" w:styleId="31">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
    <w:name w:val="纯文本_0"/>
    <w:basedOn w:val="31"/>
    <w:qFormat/>
    <w:uiPriority w:val="0"/>
    <w:rPr>
      <w:rFonts w:ascii="宋体" w:hAnsi="Courier New"/>
      <w:kern w:val="0"/>
      <w:sz w:val="20"/>
      <w:szCs w:val="21"/>
    </w:rPr>
  </w:style>
  <w:style w:type="paragraph" w:customStyle="1" w:styleId="33">
    <w:name w:val="标题 2_0"/>
    <w:basedOn w:val="34"/>
    <w:next w:val="21"/>
    <w:qFormat/>
    <w:uiPriority w:val="0"/>
    <w:pPr>
      <w:outlineLvl w:val="1"/>
    </w:pPr>
  </w:style>
  <w:style w:type="paragraph" w:customStyle="1" w:styleId="34">
    <w:name w:val="标题 4_0"/>
    <w:basedOn w:val="35"/>
    <w:next w:val="22"/>
    <w:unhideWhenUsed/>
    <w:qFormat/>
    <w:uiPriority w:val="9"/>
    <w:pPr>
      <w:keepNext/>
      <w:keepLines/>
      <w:spacing w:before="280" w:after="290" w:line="376" w:lineRule="auto"/>
      <w:outlineLvl w:val="3"/>
    </w:pPr>
    <w:rPr>
      <w:rFonts w:ascii="Cambria" w:hAnsi="Cambria"/>
      <w:kern w:val="2"/>
      <w:sz w:val="28"/>
      <w:szCs w:val="28"/>
    </w:rPr>
  </w:style>
  <w:style w:type="paragraph" w:customStyle="1" w:styleId="35">
    <w:name w:val="标题 3_0"/>
    <w:basedOn w:val="22"/>
    <w:next w:val="22"/>
    <w:qFormat/>
    <w:uiPriority w:val="0"/>
    <w:pPr>
      <w:spacing w:before="260" w:after="260" w:line="416" w:lineRule="auto"/>
      <w:outlineLvl w:val="2"/>
    </w:pPr>
    <w:rPr>
      <w:b/>
      <w:bCs/>
      <w:kern w:val="0"/>
      <w:sz w:val="32"/>
      <w:szCs w:val="32"/>
    </w:rPr>
  </w:style>
  <w:style w:type="paragraph" w:customStyle="1" w:styleId="36">
    <w:name w:val="正文_1_0"/>
    <w:qFormat/>
    <w:uiPriority w:val="0"/>
    <w:pPr>
      <w:widowControl w:val="0"/>
      <w:jc w:val="both"/>
    </w:pPr>
    <w:rPr>
      <w:rFonts w:ascii="Times New Roman" w:hAnsi="Times New Roman"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6997</Words>
  <Characters>39883</Characters>
  <Lines>332</Lines>
  <Paragraphs>93</Paragraphs>
  <TotalTime>107</TotalTime>
  <ScaleCrop>false</ScaleCrop>
  <LinksUpToDate>false</LinksUpToDate>
  <CharactersWithSpaces>46787</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2019-09-27T08:55:00Z</dcterms:created>
  <dc:creator>钟珂</dc:creator>
  <cp:lastModifiedBy>钟珂</cp:lastModifiedBy>
  <cp:lastPrinted>2019-10-10T03:58:00Z</cp:lastPrinted>
  <dcterms:modified xsi:type="dcterms:W3CDTF">2019-10-10T09:52:42Z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